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2F" w:rsidRDefault="001E237C" w:rsidP="00993F8F">
      <w:pPr>
        <w:pStyle w:val="Nagwekspisutreci"/>
        <w:tabs>
          <w:tab w:val="left" w:pos="1701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993F8F">
        <w:rPr>
          <w:rFonts w:asciiTheme="minorHAnsi" w:hAnsiTheme="minorHAnsi" w:cs="Arial"/>
        </w:rPr>
        <w:t xml:space="preserve">Załącznik nr </w:t>
      </w:r>
      <w:r w:rsidR="00AE7E49">
        <w:rPr>
          <w:rFonts w:asciiTheme="minorHAnsi" w:hAnsiTheme="minorHAnsi" w:cs="Arial"/>
        </w:rPr>
        <w:t xml:space="preserve">1 </w:t>
      </w:r>
      <w:r w:rsidR="00993F8F">
        <w:rPr>
          <w:rFonts w:asciiTheme="minorHAnsi" w:hAnsiTheme="minorHAnsi" w:cs="Arial"/>
        </w:rPr>
        <w:t>do SIWZ</w:t>
      </w:r>
    </w:p>
    <w:p w:rsidR="00DE0446" w:rsidRPr="005F7B93" w:rsidRDefault="00DE0446" w:rsidP="00DE0446">
      <w:pPr>
        <w:pStyle w:val="Nagwekspisutreci"/>
        <w:jc w:val="center"/>
        <w:rPr>
          <w:rFonts w:asciiTheme="minorHAnsi" w:hAnsiTheme="minorHAnsi" w:cs="Arial"/>
          <w:sz w:val="32"/>
        </w:rPr>
      </w:pPr>
      <w:r w:rsidRPr="005F7B93">
        <w:rPr>
          <w:rFonts w:asciiTheme="minorHAnsi" w:hAnsiTheme="minorHAnsi" w:cs="Arial"/>
          <w:sz w:val="32"/>
        </w:rPr>
        <w:t>Opis Przedmiotu Zamówienia</w:t>
      </w:r>
    </w:p>
    <w:p w:rsidR="00DE0446" w:rsidRPr="005F7B93" w:rsidRDefault="00DE0446" w:rsidP="00DE0446"/>
    <w:p w:rsidR="00DE0446" w:rsidRPr="005F7B93" w:rsidRDefault="00DE0446" w:rsidP="00DE0446">
      <w:pPr>
        <w:jc w:val="center"/>
        <w:rPr>
          <w:rFonts w:asciiTheme="minorHAnsi" w:hAnsiTheme="minorHAnsi" w:cstheme="minorHAnsi"/>
          <w:sz w:val="28"/>
        </w:rPr>
      </w:pPr>
      <w:r w:rsidRPr="005F7B93">
        <w:rPr>
          <w:rFonts w:asciiTheme="minorHAnsi" w:hAnsiTheme="minorHAnsi" w:cstheme="minorHAnsi"/>
          <w:sz w:val="28"/>
        </w:rPr>
        <w:t>„Modernizacja oświetlenia płyty boiska Stadionu Wrocław</w:t>
      </w:r>
      <w:r w:rsidR="00B57D2B">
        <w:rPr>
          <w:rFonts w:asciiTheme="minorHAnsi" w:hAnsiTheme="minorHAnsi" w:cstheme="minorHAnsi"/>
          <w:sz w:val="28"/>
        </w:rPr>
        <w:t xml:space="preserve"> we Wrocławiu</w:t>
      </w:r>
      <w:r w:rsidRPr="005F7B93">
        <w:rPr>
          <w:rFonts w:asciiTheme="minorHAnsi" w:hAnsiTheme="minorHAnsi" w:cstheme="minorHAnsi"/>
          <w:sz w:val="28"/>
        </w:rPr>
        <w:t>”</w:t>
      </w:r>
    </w:p>
    <w:p w:rsidR="00DE0446" w:rsidRPr="005F7B93" w:rsidRDefault="00DE0446" w:rsidP="00DE0446">
      <w:pPr>
        <w:rPr>
          <w:kern w:val="32"/>
          <w:sz w:val="28"/>
          <w:szCs w:val="28"/>
        </w:rPr>
      </w:pPr>
      <w:r w:rsidRPr="005F7B93">
        <w:br w:type="page"/>
      </w:r>
      <w:bookmarkStart w:id="0" w:name="_GoBack"/>
      <w:bookmarkEnd w:id="0"/>
    </w:p>
    <w:p w:rsidR="00F03B47" w:rsidRPr="005F7B93" w:rsidRDefault="00F03B47" w:rsidP="00D4354B">
      <w:pPr>
        <w:pStyle w:val="Nagwekspisutreci"/>
        <w:rPr>
          <w:rFonts w:asciiTheme="minorHAnsi" w:hAnsiTheme="minorHAnsi" w:cs="Arial"/>
        </w:rPr>
      </w:pPr>
      <w:r w:rsidRPr="005F7B93">
        <w:rPr>
          <w:rFonts w:asciiTheme="minorHAnsi" w:hAnsiTheme="minorHAnsi" w:cs="Arial"/>
        </w:rPr>
        <w:lastRenderedPageBreak/>
        <w:t>Spis treści</w:t>
      </w:r>
      <w:r w:rsidRPr="005F7B93">
        <w:rPr>
          <w:rFonts w:asciiTheme="minorHAnsi" w:hAnsiTheme="minorHAnsi" w:cs="Arial"/>
        </w:rPr>
        <w:tab/>
      </w:r>
    </w:p>
    <w:p w:rsidR="005F7B93" w:rsidRDefault="008B36F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B36F3">
        <w:rPr>
          <w:rFonts w:asciiTheme="minorHAnsi" w:hAnsiTheme="minorHAnsi"/>
          <w:b w:val="0"/>
          <w:bCs w:val="0"/>
          <w:caps w:val="0"/>
          <w:sz w:val="20"/>
        </w:rPr>
        <w:fldChar w:fldCharType="begin"/>
      </w:r>
      <w:r w:rsidR="00C153CF" w:rsidRPr="005F7B93">
        <w:rPr>
          <w:rFonts w:asciiTheme="minorHAnsi" w:hAnsiTheme="minorHAnsi"/>
          <w:b w:val="0"/>
          <w:bCs w:val="0"/>
          <w:caps w:val="0"/>
          <w:sz w:val="20"/>
        </w:rPr>
        <w:instrText xml:space="preserve"> TOC \o "1-3" \h \z \u </w:instrText>
      </w:r>
      <w:r w:rsidRPr="008B36F3">
        <w:rPr>
          <w:rFonts w:asciiTheme="minorHAnsi" w:hAnsiTheme="minorHAnsi"/>
          <w:b w:val="0"/>
          <w:bCs w:val="0"/>
          <w:caps w:val="0"/>
          <w:sz w:val="20"/>
        </w:rPr>
        <w:fldChar w:fldCharType="separate"/>
      </w:r>
      <w:hyperlink w:anchor="_Toc47560261" w:history="1">
        <w:r w:rsidR="005F7B93" w:rsidRPr="006A4B4F">
          <w:rPr>
            <w:rStyle w:val="Hipercze"/>
            <w:noProof/>
          </w:rPr>
          <w:t>1.</w:t>
        </w:r>
        <w:r w:rsidR="005F7B9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Część ogólna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2" w:history="1">
        <w:r w:rsidR="005F7B93" w:rsidRPr="006A4B4F">
          <w:rPr>
            <w:rStyle w:val="Hipercze"/>
            <w:noProof/>
          </w:rPr>
          <w:t>1.1.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Przedmiot opracowania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3" w:history="1">
        <w:r w:rsidR="005F7B93" w:rsidRPr="006A4B4F">
          <w:rPr>
            <w:rStyle w:val="Hipercze"/>
            <w:noProof/>
          </w:rPr>
          <w:t>1.2.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Podstawa opracowania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4" w:history="1">
        <w:r w:rsidR="005F7B93" w:rsidRPr="006A4B4F">
          <w:rPr>
            <w:rStyle w:val="Hipercze"/>
            <w:noProof/>
          </w:rPr>
          <w:t>1.3.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Zakres opracowania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60265" w:history="1">
        <w:r w:rsidR="005F7B93" w:rsidRPr="006A4B4F">
          <w:rPr>
            <w:rStyle w:val="Hipercze"/>
            <w:noProof/>
          </w:rPr>
          <w:t>2.</w:t>
        </w:r>
        <w:r w:rsidR="005F7B9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Oświetlenie płyty boiska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6" w:history="1">
        <w:r w:rsidR="005F7B93" w:rsidRPr="006A4B4F">
          <w:rPr>
            <w:rStyle w:val="Hipercze"/>
            <w:noProof/>
          </w:rPr>
          <w:t>2.1.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Cel modernizacji oświetlenia płyty głównej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7" w:history="1">
        <w:r w:rsidR="005F7B93" w:rsidRPr="006A4B4F">
          <w:rPr>
            <w:rStyle w:val="Hipercze"/>
            <w:noProof/>
          </w:rPr>
          <w:t>2.2.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Stan istniejący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8" w:history="1">
        <w:r w:rsidR="005F7B93" w:rsidRPr="006A4B4F">
          <w:rPr>
            <w:rStyle w:val="Hipercze"/>
            <w:noProof/>
          </w:rPr>
          <w:t>2.3.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Zakres prac obejmujących modernizację oświetlenia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69" w:history="1">
        <w:r w:rsidR="005F7B93" w:rsidRPr="006A4B4F">
          <w:rPr>
            <w:rStyle w:val="Hipercze"/>
            <w:noProof/>
          </w:rPr>
          <w:t>2.4.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Wymagane dokumenty i opracowanie dotyczące opraw oświetleniowych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70" w:history="1">
        <w:r w:rsidR="005F7B93" w:rsidRPr="006A4B4F">
          <w:rPr>
            <w:rStyle w:val="Hipercze"/>
            <w:noProof/>
          </w:rPr>
          <w:t>2.5.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Symulacje (obliczenia) natężenia oświetlenia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1" w:history="1">
        <w:r w:rsidR="005F7B93" w:rsidRPr="006A4B4F">
          <w:rPr>
            <w:rStyle w:val="Hipercze"/>
            <w:noProof/>
          </w:rPr>
          <w:t>2.5.1.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Symulacja nr 1 – stan istniejący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2" w:history="1">
        <w:r w:rsidR="005F7B93" w:rsidRPr="006A4B4F">
          <w:rPr>
            <w:rStyle w:val="Hipercze"/>
            <w:noProof/>
          </w:rPr>
          <w:t>2.5.2.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Symulacja nr 2 – oświetlenie murawy dodatkowymi oprawami LED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3" w:history="1">
        <w:r w:rsidR="005F7B93" w:rsidRPr="006A4B4F">
          <w:rPr>
            <w:rStyle w:val="Hipercze"/>
            <w:noProof/>
          </w:rPr>
          <w:t>2.5.3.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Symulacja nr 3 – oświetlenie murawy – oprawy z dodatkowymi oprawami LED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74" w:history="1">
        <w:r w:rsidR="005F7B93" w:rsidRPr="006A4B4F">
          <w:rPr>
            <w:rStyle w:val="Hipercze"/>
            <w:noProof/>
          </w:rPr>
          <w:t>2.6.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Minimalne parametry techniczne opraw LED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75" w:history="1">
        <w:r w:rsidR="005F7B93" w:rsidRPr="006A4B4F">
          <w:rPr>
            <w:rStyle w:val="Hipercze"/>
            <w:noProof/>
          </w:rPr>
          <w:t>2.7.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Minimalne wymagania systemu sterowania oświetleniem (SSO)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6" w:history="1">
        <w:r w:rsidR="005F7B93" w:rsidRPr="006A4B4F">
          <w:rPr>
            <w:rStyle w:val="Hipercze"/>
            <w:noProof/>
          </w:rPr>
          <w:t>2.7.1.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Definicje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7" w:history="1">
        <w:r w:rsidR="005F7B93" w:rsidRPr="006A4B4F">
          <w:rPr>
            <w:rStyle w:val="Hipercze"/>
            <w:noProof/>
          </w:rPr>
          <w:t>2.7.2.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Opis systemu sterowania oświetleniem (SSO)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560278" w:history="1">
        <w:r w:rsidR="005F7B93" w:rsidRPr="006A4B4F">
          <w:rPr>
            <w:rStyle w:val="Hipercze"/>
            <w:noProof/>
          </w:rPr>
          <w:t>2.7.3.</w:t>
        </w:r>
        <w:r w:rsidR="005F7B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7B93" w:rsidRPr="006A4B4F">
          <w:rPr>
            <w:rStyle w:val="Hipercze"/>
            <w:noProof/>
          </w:rPr>
          <w:t>Minimalne parametry techniczne elementów (SSO)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79" w:history="1">
        <w:r w:rsidR="005F7B93" w:rsidRPr="006A4B4F">
          <w:rPr>
            <w:rStyle w:val="Hipercze"/>
            <w:noProof/>
          </w:rPr>
          <w:t>2.8.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Minimalne wymagania dotyczące instalacji elektrycznych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F7B93" w:rsidRDefault="008B36F3">
      <w:pPr>
        <w:pStyle w:val="Spistreci2"/>
        <w:tabs>
          <w:tab w:val="left" w:pos="15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7560280" w:history="1">
        <w:r w:rsidR="005F7B93" w:rsidRPr="006A4B4F">
          <w:rPr>
            <w:rStyle w:val="Hipercze"/>
            <w:noProof/>
          </w:rPr>
          <w:t>2.9.</w:t>
        </w:r>
        <w:r w:rsidR="005F7B9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F7B93" w:rsidRPr="006A4B4F">
          <w:rPr>
            <w:rStyle w:val="Hipercze"/>
            <w:rFonts w:cs="Arial"/>
            <w:noProof/>
          </w:rPr>
          <w:t>Spis Załączników</w:t>
        </w:r>
        <w:r w:rsidR="005F7B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B93">
          <w:rPr>
            <w:noProof/>
            <w:webHidden/>
          </w:rPr>
          <w:instrText xml:space="preserve"> PAGEREF _Toc47560280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328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3B47" w:rsidRPr="005F7B93" w:rsidRDefault="008B36F3" w:rsidP="002D13F0">
      <w:pPr>
        <w:ind w:firstLine="0"/>
        <w:rPr>
          <w:rFonts w:asciiTheme="minorHAnsi" w:hAnsiTheme="minorHAnsi"/>
        </w:rPr>
      </w:pPr>
      <w:r w:rsidRPr="005F7B93">
        <w:rPr>
          <w:rFonts w:asciiTheme="minorHAnsi" w:hAnsiTheme="minorHAnsi"/>
          <w:b/>
          <w:bCs/>
          <w:caps/>
          <w:sz w:val="20"/>
          <w:szCs w:val="24"/>
        </w:rPr>
        <w:fldChar w:fldCharType="end"/>
      </w:r>
    </w:p>
    <w:p w:rsidR="00B8321C" w:rsidRPr="005F7B93" w:rsidRDefault="00B8321C" w:rsidP="00B8321C">
      <w:pPr>
        <w:pStyle w:val="Bezodstpw"/>
        <w:jc w:val="center"/>
        <w:rPr>
          <w:rFonts w:asciiTheme="minorHAnsi" w:hAnsiTheme="minorHAnsi" w:cs="Arial"/>
          <w:sz w:val="32"/>
          <w:szCs w:val="32"/>
        </w:rPr>
      </w:pPr>
    </w:p>
    <w:p w:rsidR="00B8321C" w:rsidRPr="005F7B93" w:rsidRDefault="00B8321C" w:rsidP="00D4354B">
      <w:pPr>
        <w:pStyle w:val="Tekstpodstawowy"/>
        <w:rPr>
          <w:rFonts w:asciiTheme="minorHAnsi" w:hAnsiTheme="minorHAnsi" w:cs="Arial"/>
        </w:rPr>
      </w:pPr>
    </w:p>
    <w:p w:rsidR="00221F51" w:rsidRPr="005F7B93" w:rsidRDefault="00221F51">
      <w:pPr>
        <w:widowControl/>
        <w:ind w:firstLine="0"/>
        <w:jc w:val="left"/>
        <w:rPr>
          <w:rFonts w:asciiTheme="minorHAnsi" w:hAnsiTheme="minorHAnsi"/>
        </w:rPr>
      </w:pPr>
      <w:r w:rsidRPr="005F7B93">
        <w:rPr>
          <w:rFonts w:asciiTheme="minorHAnsi" w:hAnsiTheme="minorHAnsi"/>
        </w:rPr>
        <w:br w:type="page"/>
      </w:r>
    </w:p>
    <w:p w:rsidR="00F03B47" w:rsidRPr="005F7B93" w:rsidRDefault="00F03B47" w:rsidP="00D4354B">
      <w:pPr>
        <w:pStyle w:val="Nagwek1"/>
        <w:rPr>
          <w:rFonts w:asciiTheme="minorHAnsi" w:hAnsiTheme="minorHAnsi" w:cs="Arial"/>
        </w:rPr>
      </w:pPr>
      <w:bookmarkStart w:id="1" w:name="_Toc47560261"/>
      <w:bookmarkStart w:id="2" w:name="_Toc456003864"/>
      <w:r w:rsidRPr="005F7B93">
        <w:rPr>
          <w:rFonts w:asciiTheme="minorHAnsi" w:hAnsiTheme="minorHAnsi" w:cs="Arial"/>
        </w:rPr>
        <w:lastRenderedPageBreak/>
        <w:t>C</w:t>
      </w:r>
      <w:r w:rsidR="00895D94" w:rsidRPr="005F7B93">
        <w:rPr>
          <w:rFonts w:asciiTheme="minorHAnsi" w:hAnsiTheme="minorHAnsi" w:cs="Arial"/>
        </w:rPr>
        <w:t>zęść o</w:t>
      </w:r>
      <w:r w:rsidR="00A14D14" w:rsidRPr="005F7B93">
        <w:rPr>
          <w:rFonts w:asciiTheme="minorHAnsi" w:hAnsiTheme="minorHAnsi" w:cs="Arial"/>
        </w:rPr>
        <w:t>gólna</w:t>
      </w:r>
      <w:bookmarkEnd w:id="1"/>
    </w:p>
    <w:p w:rsidR="006F7637" w:rsidRPr="005F7B93" w:rsidRDefault="006F7637" w:rsidP="00A675E3">
      <w:pPr>
        <w:pStyle w:val="Nagwek2"/>
      </w:pPr>
      <w:bookmarkStart w:id="3" w:name="_Toc47560262"/>
      <w:r w:rsidRPr="005F7B93">
        <w:t>Przedmiot opracowania</w:t>
      </w:r>
      <w:bookmarkEnd w:id="2"/>
      <w:bookmarkEnd w:id="3"/>
    </w:p>
    <w:p w:rsidR="006F7637" w:rsidRPr="005F7B93" w:rsidRDefault="00A203F0" w:rsidP="00D4354B">
      <w:pPr>
        <w:rPr>
          <w:rFonts w:asciiTheme="minorHAnsi" w:hAnsiTheme="minorHAnsi"/>
        </w:rPr>
      </w:pPr>
      <w:r w:rsidRPr="005F7B93">
        <w:rPr>
          <w:rFonts w:asciiTheme="minorHAnsi" w:hAnsiTheme="minorHAnsi"/>
          <w:lang w:eastAsia="ar-SA"/>
        </w:rPr>
        <w:t xml:space="preserve">Przedmiotem opracowania jest </w:t>
      </w:r>
      <w:r w:rsidR="00DE0446" w:rsidRPr="005F7B93">
        <w:rPr>
          <w:rFonts w:asciiTheme="minorHAnsi" w:hAnsiTheme="minorHAnsi"/>
          <w:lang w:eastAsia="ar-SA"/>
        </w:rPr>
        <w:t>opis przedmiotu zamówienia (OPZ)</w:t>
      </w:r>
      <w:r w:rsidRPr="005F7B93">
        <w:rPr>
          <w:rFonts w:asciiTheme="minorHAnsi" w:hAnsiTheme="minorHAnsi"/>
          <w:lang w:eastAsia="ar-SA"/>
        </w:rPr>
        <w:t xml:space="preserve"> dla </w:t>
      </w:r>
      <w:r w:rsidR="001316A4" w:rsidRPr="005F7B93">
        <w:rPr>
          <w:rFonts w:asciiTheme="minorHAnsi" w:hAnsiTheme="minorHAnsi"/>
          <w:lang w:eastAsia="ar-SA"/>
        </w:rPr>
        <w:t xml:space="preserve">tematu: </w:t>
      </w:r>
      <w:r w:rsidR="00DE0446" w:rsidRPr="005F7B93">
        <w:rPr>
          <w:rFonts w:asciiTheme="minorHAnsi" w:hAnsiTheme="minorHAnsi"/>
          <w:lang w:eastAsia="ar-SA"/>
        </w:rPr>
        <w:t>„Modernizacja oświetlenia płyty boiska Stadionu Wrocław”</w:t>
      </w:r>
      <w:r w:rsidRPr="005F7B93">
        <w:rPr>
          <w:rFonts w:asciiTheme="minorHAnsi" w:hAnsiTheme="minorHAnsi"/>
          <w:lang w:eastAsia="ar-SA"/>
        </w:rPr>
        <w:t>.</w:t>
      </w:r>
    </w:p>
    <w:p w:rsidR="00756AC8" w:rsidRPr="005F7B93" w:rsidRDefault="00756AC8" w:rsidP="00A675E3">
      <w:pPr>
        <w:pStyle w:val="Nagwek2"/>
      </w:pPr>
      <w:bookmarkStart w:id="4" w:name="_Toc456003865"/>
      <w:bookmarkStart w:id="5" w:name="_Toc47560263"/>
      <w:r w:rsidRPr="005F7B93">
        <w:t>Podstawa opracowania</w:t>
      </w:r>
      <w:bookmarkEnd w:id="4"/>
      <w:bookmarkEnd w:id="5"/>
    </w:p>
    <w:p w:rsidR="00864D45" w:rsidRPr="005F7B93" w:rsidRDefault="00DE0446" w:rsidP="00864D45">
      <w:p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OPZ</w:t>
      </w:r>
      <w:r w:rsidR="00864D45" w:rsidRPr="005F7B93">
        <w:rPr>
          <w:rFonts w:asciiTheme="minorHAnsi" w:hAnsiTheme="minorHAnsi"/>
          <w:lang w:eastAsia="ar-SA"/>
        </w:rPr>
        <w:t xml:space="preserve"> opracowano na podstawie:</w:t>
      </w:r>
    </w:p>
    <w:p w:rsidR="00864D45" w:rsidRPr="005F7B93" w:rsidRDefault="002262AA" w:rsidP="002C4A34">
      <w:pPr>
        <w:pStyle w:val="Wypunktowanie1"/>
        <w:numPr>
          <w:ilvl w:val="0"/>
          <w:numId w:val="8"/>
        </w:numPr>
        <w:ind w:left="1418"/>
      </w:pPr>
      <w:r w:rsidRPr="005F7B93">
        <w:t>wytycznych Inwestora</w:t>
      </w:r>
    </w:p>
    <w:p w:rsidR="007F66F6" w:rsidRPr="005F7B93" w:rsidRDefault="007F66F6" w:rsidP="002C4A34">
      <w:pPr>
        <w:pStyle w:val="Wypunktowanie1"/>
        <w:numPr>
          <w:ilvl w:val="0"/>
          <w:numId w:val="8"/>
        </w:numPr>
        <w:ind w:left="1418"/>
      </w:pPr>
      <w:r w:rsidRPr="005F7B93">
        <w:t>PZPN - Podręcznik Licencyjny dla klubów Ekstraklasy na sezon 201</w:t>
      </w:r>
      <w:r w:rsidR="002B56A0" w:rsidRPr="005F7B93">
        <w:t>9</w:t>
      </w:r>
      <w:r w:rsidRPr="005F7B93">
        <w:t>/20</w:t>
      </w:r>
      <w:r w:rsidR="002B56A0" w:rsidRPr="005F7B93">
        <w:t>20</w:t>
      </w:r>
    </w:p>
    <w:p w:rsidR="007F66F6" w:rsidRPr="005F7B93" w:rsidRDefault="007F66F6" w:rsidP="002C4A34">
      <w:pPr>
        <w:pStyle w:val="Wypunktowanie1"/>
        <w:numPr>
          <w:ilvl w:val="0"/>
          <w:numId w:val="8"/>
        </w:numPr>
        <w:ind w:left="1418"/>
      </w:pPr>
      <w:r w:rsidRPr="005F7B93">
        <w:t>UE</w:t>
      </w:r>
      <w:r w:rsidR="00DE0446" w:rsidRPr="005F7B93">
        <w:t>FA - Stadium Lighting Guide 2016</w:t>
      </w:r>
    </w:p>
    <w:p w:rsidR="00864D45" w:rsidRPr="005F7B93" w:rsidRDefault="002262AA" w:rsidP="002C4A34">
      <w:pPr>
        <w:pStyle w:val="Wypunktowanie1"/>
        <w:numPr>
          <w:ilvl w:val="0"/>
          <w:numId w:val="8"/>
        </w:numPr>
        <w:ind w:left="1418"/>
      </w:pPr>
      <w:r w:rsidRPr="005F7B93">
        <w:t>uzgodnień międzybranżowych</w:t>
      </w:r>
    </w:p>
    <w:p w:rsidR="00864D45" w:rsidRPr="005F7B93" w:rsidRDefault="00864D45" w:rsidP="002C4A34">
      <w:pPr>
        <w:pStyle w:val="Wypunktowanie1"/>
        <w:numPr>
          <w:ilvl w:val="0"/>
          <w:numId w:val="8"/>
        </w:numPr>
        <w:ind w:left="1418"/>
      </w:pPr>
      <w:r w:rsidRPr="005F7B93">
        <w:t>aktualnych podkładów archi</w:t>
      </w:r>
      <w:r w:rsidR="002262AA" w:rsidRPr="005F7B93">
        <w:t>tektonicznych</w:t>
      </w:r>
    </w:p>
    <w:p w:rsidR="00864D45" w:rsidRPr="005F7B93" w:rsidRDefault="00864D45" w:rsidP="002C4A34">
      <w:pPr>
        <w:pStyle w:val="Wypunktowanie1"/>
        <w:numPr>
          <w:ilvl w:val="0"/>
          <w:numId w:val="8"/>
        </w:numPr>
        <w:ind w:left="1418"/>
      </w:pPr>
      <w:r w:rsidRPr="005F7B93">
        <w:t>aktualnych norm, przepisów i rozporządzeń.</w:t>
      </w:r>
    </w:p>
    <w:p w:rsidR="00A14D14" w:rsidRPr="005F7B93" w:rsidRDefault="00A14D14" w:rsidP="00A675E3">
      <w:pPr>
        <w:pStyle w:val="Nagwek2"/>
      </w:pPr>
      <w:bookmarkStart w:id="6" w:name="_Toc456003866"/>
      <w:bookmarkStart w:id="7" w:name="_Toc5934008"/>
      <w:bookmarkStart w:id="8" w:name="_Toc47560264"/>
      <w:r w:rsidRPr="005F7B93">
        <w:t>Zakres opracowania</w:t>
      </w:r>
      <w:bookmarkEnd w:id="6"/>
      <w:bookmarkEnd w:id="7"/>
      <w:bookmarkEnd w:id="8"/>
    </w:p>
    <w:p w:rsidR="00A14D14" w:rsidRPr="005F7B93" w:rsidRDefault="00A14D14" w:rsidP="00A14D14">
      <w:pPr>
        <w:rPr>
          <w:rFonts w:asciiTheme="minorHAnsi" w:hAnsiTheme="minorHAnsi"/>
        </w:rPr>
      </w:pPr>
      <w:r w:rsidRPr="005F7B93">
        <w:rPr>
          <w:rFonts w:asciiTheme="minorHAnsi" w:hAnsiTheme="minorHAnsi"/>
        </w:rPr>
        <w:t>OPZ obejmuje swoim zakresem:</w:t>
      </w:r>
    </w:p>
    <w:p w:rsidR="00A14D14" w:rsidRPr="005F7B93" w:rsidRDefault="00225019" w:rsidP="002C4A34">
      <w:pPr>
        <w:pStyle w:val="Wypunktowanie1"/>
        <w:numPr>
          <w:ilvl w:val="0"/>
          <w:numId w:val="7"/>
        </w:numPr>
        <w:ind w:left="1418"/>
        <w:rPr>
          <w:rFonts w:ascii="Calibri" w:hAnsi="Calibri"/>
        </w:rPr>
      </w:pPr>
      <w:r w:rsidRPr="005F7B93">
        <w:rPr>
          <w:rFonts w:ascii="Calibri" w:hAnsi="Calibri"/>
        </w:rPr>
        <w:t>Modernizacja oświetlenia płyty głównej</w:t>
      </w:r>
    </w:p>
    <w:p w:rsidR="00C75BBF" w:rsidRPr="005F7B93" w:rsidRDefault="001E237C" w:rsidP="002C4A34">
      <w:pPr>
        <w:pStyle w:val="Wypunktowanie1"/>
        <w:numPr>
          <w:ilvl w:val="0"/>
          <w:numId w:val="7"/>
        </w:numPr>
        <w:ind w:left="1418"/>
        <w:rPr>
          <w:rFonts w:ascii="Calibri" w:hAnsi="Calibri"/>
        </w:rPr>
      </w:pPr>
      <w:r>
        <w:rPr>
          <w:rFonts w:ascii="Calibri" w:hAnsi="Calibri"/>
        </w:rPr>
        <w:t>Dostawa i uruchomienie s</w:t>
      </w:r>
      <w:r w:rsidR="00C75BBF" w:rsidRPr="005F7B93">
        <w:rPr>
          <w:rFonts w:ascii="Calibri" w:hAnsi="Calibri"/>
        </w:rPr>
        <w:t>ystem</w:t>
      </w:r>
      <w:r>
        <w:rPr>
          <w:rFonts w:ascii="Calibri" w:hAnsi="Calibri"/>
        </w:rPr>
        <w:t>u</w:t>
      </w:r>
      <w:r w:rsidR="00C75BBF" w:rsidRPr="005F7B93">
        <w:rPr>
          <w:rFonts w:ascii="Calibri" w:hAnsi="Calibri"/>
        </w:rPr>
        <w:t xml:space="preserve"> sterowania</w:t>
      </w:r>
    </w:p>
    <w:p w:rsidR="00A14D14" w:rsidRPr="005F7B93" w:rsidRDefault="00C75BBF" w:rsidP="002C4A34">
      <w:pPr>
        <w:pStyle w:val="Wypunktowanie1"/>
        <w:numPr>
          <w:ilvl w:val="0"/>
          <w:numId w:val="7"/>
        </w:numPr>
        <w:ind w:left="1418"/>
        <w:rPr>
          <w:rFonts w:ascii="Calibri" w:hAnsi="Calibri"/>
        </w:rPr>
      </w:pPr>
      <w:r w:rsidRPr="005F7B93">
        <w:rPr>
          <w:rFonts w:ascii="Calibri" w:hAnsi="Calibri"/>
        </w:rPr>
        <w:t xml:space="preserve">Uruchomienie </w:t>
      </w:r>
      <w:r w:rsidR="00546B38" w:rsidRPr="005F7B93">
        <w:rPr>
          <w:rFonts w:ascii="Calibri" w:hAnsi="Calibri"/>
        </w:rPr>
        <w:t>niedziałających</w:t>
      </w:r>
      <w:r w:rsidRPr="005F7B93">
        <w:rPr>
          <w:rFonts w:ascii="Calibri" w:hAnsi="Calibri"/>
        </w:rPr>
        <w:t xml:space="preserve"> opraw oświetleniowych</w:t>
      </w:r>
      <w:r w:rsidR="00192E39" w:rsidRPr="005F7B93">
        <w:rPr>
          <w:rFonts w:ascii="Calibri" w:hAnsi="Calibri"/>
        </w:rPr>
        <w:t>.</w:t>
      </w:r>
    </w:p>
    <w:p w:rsidR="00756AC8" w:rsidRPr="005F7B93" w:rsidRDefault="00A14D14" w:rsidP="00494C45">
      <w:pPr>
        <w:pStyle w:val="Nagwek1"/>
        <w:rPr>
          <w:rFonts w:asciiTheme="minorHAnsi" w:hAnsiTheme="minorHAnsi" w:cs="Arial"/>
        </w:rPr>
      </w:pPr>
      <w:bookmarkStart w:id="9" w:name="_Toc47560265"/>
      <w:r w:rsidRPr="005F7B93">
        <w:rPr>
          <w:rFonts w:asciiTheme="minorHAnsi" w:hAnsiTheme="minorHAnsi" w:cs="Arial"/>
        </w:rPr>
        <w:t>Oświetlenie płyty boiska</w:t>
      </w:r>
      <w:bookmarkEnd w:id="9"/>
    </w:p>
    <w:p w:rsidR="00A14D14" w:rsidRPr="005F7B93" w:rsidRDefault="005F4B7E" w:rsidP="00A675E3">
      <w:pPr>
        <w:pStyle w:val="Nagwek2"/>
      </w:pPr>
      <w:r w:rsidRPr="005F7B93">
        <w:t xml:space="preserve"> </w:t>
      </w:r>
      <w:bookmarkStart w:id="10" w:name="_Toc47560266"/>
      <w:r w:rsidR="00A14D14" w:rsidRPr="005F7B93">
        <w:t>Cel modernizacji oświetlenia płyty głównej</w:t>
      </w:r>
      <w:bookmarkEnd w:id="10"/>
    </w:p>
    <w:p w:rsidR="00A14D14" w:rsidRPr="005F7B93" w:rsidRDefault="00F97358" w:rsidP="00A14D14">
      <w:pPr>
        <w:ind w:firstLine="0"/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ab/>
      </w:r>
      <w:r w:rsidR="00A14D14" w:rsidRPr="005F7B93">
        <w:rPr>
          <w:rFonts w:asciiTheme="minorHAnsi" w:hAnsiTheme="minorHAnsi"/>
          <w:lang w:eastAsia="ar-SA"/>
        </w:rPr>
        <w:t xml:space="preserve">Oświetlenie po przeprowadzonej modernizacji oświetlenia </w:t>
      </w:r>
      <w:r w:rsidR="00B57D2B">
        <w:rPr>
          <w:rFonts w:asciiTheme="minorHAnsi" w:hAnsiTheme="minorHAnsi"/>
          <w:lang w:eastAsia="ar-SA"/>
        </w:rPr>
        <w:t>musi</w:t>
      </w:r>
      <w:r w:rsidR="00B57D2B" w:rsidRPr="005F7B93">
        <w:rPr>
          <w:rFonts w:asciiTheme="minorHAnsi" w:hAnsiTheme="minorHAnsi"/>
          <w:lang w:eastAsia="ar-SA"/>
        </w:rPr>
        <w:t xml:space="preserve"> </w:t>
      </w:r>
      <w:r w:rsidR="00192E39" w:rsidRPr="005F7B93">
        <w:rPr>
          <w:rFonts w:asciiTheme="minorHAnsi" w:hAnsiTheme="minorHAnsi"/>
          <w:lang w:eastAsia="ar-SA"/>
        </w:rPr>
        <w:t xml:space="preserve">spełniać wymagania opisane </w:t>
      </w:r>
      <w:r w:rsidR="00143C9D" w:rsidRPr="005F7B93">
        <w:rPr>
          <w:rFonts w:asciiTheme="minorHAnsi" w:hAnsiTheme="minorHAnsi"/>
          <w:lang w:eastAsia="ar-SA"/>
        </w:rPr>
        <w:t xml:space="preserve">w pkt. 2.5.3 oraz </w:t>
      </w:r>
      <w:r w:rsidR="00192E39" w:rsidRPr="005F7B93">
        <w:rPr>
          <w:rFonts w:asciiTheme="minorHAnsi" w:hAnsiTheme="minorHAnsi"/>
          <w:lang w:eastAsia="ar-SA"/>
        </w:rPr>
        <w:t>w </w:t>
      </w:r>
      <w:r w:rsidR="00A14D14" w:rsidRPr="005F7B93">
        <w:rPr>
          <w:rFonts w:asciiTheme="minorHAnsi" w:hAnsiTheme="minorHAnsi"/>
          <w:lang w:eastAsia="ar-SA"/>
        </w:rPr>
        <w:t>Podręczniku Licencyjnym dla Klubów Ekstraklasa, s</w:t>
      </w:r>
      <w:r w:rsidR="00143C9D" w:rsidRPr="005F7B93">
        <w:rPr>
          <w:rFonts w:asciiTheme="minorHAnsi" w:hAnsiTheme="minorHAnsi"/>
          <w:lang w:eastAsia="ar-SA"/>
        </w:rPr>
        <w:t>ezon 2020/2021 i następne, PZPN.</w:t>
      </w:r>
    </w:p>
    <w:p w:rsidR="00A14D14" w:rsidRPr="005F7B93" w:rsidRDefault="00A14D14" w:rsidP="00A14D14">
      <w:pPr>
        <w:ind w:firstLine="0"/>
        <w:rPr>
          <w:rFonts w:asciiTheme="minorHAnsi" w:hAnsiTheme="minorHAnsi"/>
          <w:lang w:eastAsia="ar-SA"/>
        </w:rPr>
      </w:pPr>
    </w:p>
    <w:p w:rsidR="00A14D14" w:rsidRPr="005F7B93" w:rsidRDefault="00A14D14" w:rsidP="00A14D14">
      <w:pPr>
        <w:ind w:firstLine="0"/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 xml:space="preserve">Stadion dla Rozgrywek Klubowych UEFA i dla Rozgrywek Klubowych PZPN na 31 marca roku kalendarzowego, w którym rozpoczyna się dany Sezon Licencyjny, musi być wyposażony w system sztucznego oświetlenia, utrzymujący minimalne średnie natężenie oświetlenia pionowego o wartości 1400 </w:t>
      </w:r>
      <w:proofErr w:type="spellStart"/>
      <w:r w:rsidRPr="005F7B93">
        <w:rPr>
          <w:rFonts w:asciiTheme="minorHAnsi" w:hAnsiTheme="minorHAnsi"/>
          <w:lang w:eastAsia="ar-SA"/>
        </w:rPr>
        <w:t>Ev</w:t>
      </w:r>
      <w:proofErr w:type="spellEnd"/>
      <w:r w:rsidRPr="005F7B93">
        <w:rPr>
          <w:rFonts w:asciiTheme="minorHAnsi" w:hAnsiTheme="minorHAnsi"/>
          <w:lang w:eastAsia="ar-SA"/>
        </w:rPr>
        <w:t xml:space="preserve">(lx) przy </w:t>
      </w:r>
      <w:proofErr w:type="spellStart"/>
      <w:r w:rsidRPr="005F7B93">
        <w:rPr>
          <w:rFonts w:asciiTheme="minorHAnsi" w:hAnsiTheme="minorHAnsi"/>
          <w:lang w:eastAsia="ar-SA"/>
        </w:rPr>
        <w:t>równomiernościach</w:t>
      </w:r>
      <w:proofErr w:type="spellEnd"/>
      <w:r w:rsidRPr="005F7B93">
        <w:rPr>
          <w:rFonts w:asciiTheme="minorHAnsi" w:hAnsiTheme="minorHAnsi"/>
          <w:lang w:eastAsia="ar-SA"/>
        </w:rPr>
        <w:t xml:space="preserve"> E min./E max. ≥ 0,4; E min./E średnie ≥ 0,6 w kierunku zainstalowanych kamer oraz na 31 października roku kalendarzowego, w którym rozpoczyna się dany Sezon Licencyjny, musi być wyposażony w system sztucznego oświetlenia, utrzymujący minimalne średnie natężenie oświetlenia pionowego o wartości 1400 </w:t>
      </w:r>
      <w:proofErr w:type="spellStart"/>
      <w:r w:rsidRPr="005F7B93">
        <w:rPr>
          <w:rFonts w:asciiTheme="minorHAnsi" w:hAnsiTheme="minorHAnsi"/>
          <w:lang w:eastAsia="ar-SA"/>
        </w:rPr>
        <w:t>Ev</w:t>
      </w:r>
      <w:proofErr w:type="spellEnd"/>
      <w:r w:rsidR="00A65223" w:rsidRPr="005F7B93">
        <w:rPr>
          <w:rFonts w:asciiTheme="minorHAnsi" w:hAnsiTheme="minorHAnsi"/>
          <w:lang w:eastAsia="ar-SA"/>
        </w:rPr>
        <w:t xml:space="preserve"> </w:t>
      </w:r>
      <w:r w:rsidRPr="005F7B93">
        <w:rPr>
          <w:rFonts w:asciiTheme="minorHAnsi" w:hAnsiTheme="minorHAnsi"/>
          <w:lang w:eastAsia="ar-SA"/>
        </w:rPr>
        <w:t xml:space="preserve">(lx), przy </w:t>
      </w:r>
      <w:proofErr w:type="spellStart"/>
      <w:r w:rsidRPr="005F7B93">
        <w:rPr>
          <w:rFonts w:asciiTheme="minorHAnsi" w:hAnsiTheme="minorHAnsi"/>
          <w:lang w:eastAsia="ar-SA"/>
        </w:rPr>
        <w:t>równomiernościach</w:t>
      </w:r>
      <w:proofErr w:type="spellEnd"/>
      <w:r w:rsidRPr="005F7B93">
        <w:rPr>
          <w:rFonts w:asciiTheme="minorHAnsi" w:hAnsiTheme="minorHAnsi"/>
          <w:lang w:eastAsia="ar-SA"/>
        </w:rPr>
        <w:t xml:space="preserve"> E min./E max. ≥ 0,4; E min./E średnie ≥ 0,6 w kierunku zainstalowanych kamer. Oświetlenie musi pokrywać równomiernie każdy obszar pola gry, w tym narożniki.</w:t>
      </w:r>
    </w:p>
    <w:p w:rsidR="00A14D14" w:rsidRPr="005F7B93" w:rsidRDefault="00A14D14" w:rsidP="00A14D14">
      <w:pPr>
        <w:ind w:firstLine="0"/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 xml:space="preserve">W celu zapewnienia możliwości kontynuacji meczu w przypadku awarii zasilania Stadion musi być wyposażony w niezależny system zasilania awaryjnego, zdolny do zapewnienia natężenia światła 800 </w:t>
      </w:r>
      <w:proofErr w:type="spellStart"/>
      <w:r w:rsidRPr="00993F8F">
        <w:rPr>
          <w:rFonts w:asciiTheme="minorHAnsi" w:hAnsiTheme="minorHAnsi"/>
          <w:lang w:eastAsia="ar-SA"/>
        </w:rPr>
        <w:t>Ev</w:t>
      </w:r>
      <w:proofErr w:type="spellEnd"/>
      <w:r w:rsidRPr="00993F8F">
        <w:rPr>
          <w:rFonts w:asciiTheme="minorHAnsi" w:hAnsiTheme="minorHAnsi"/>
          <w:lang w:eastAsia="ar-SA"/>
        </w:rPr>
        <w:t xml:space="preserve">(lx). </w:t>
      </w:r>
      <w:r w:rsidR="003C5EB1" w:rsidRPr="00993F8F">
        <w:rPr>
          <w:rFonts w:asciiTheme="minorHAnsi" w:hAnsiTheme="minorHAnsi"/>
          <w:lang w:eastAsia="ar-SA"/>
        </w:rPr>
        <w:t>Zaleca się</w:t>
      </w:r>
      <w:r w:rsidRPr="00993F8F">
        <w:rPr>
          <w:rFonts w:asciiTheme="minorHAnsi" w:hAnsiTheme="minorHAnsi"/>
          <w:lang w:eastAsia="ar-SA"/>
        </w:rPr>
        <w:t>, aby</w:t>
      </w:r>
      <w:r w:rsidRPr="005F7B93">
        <w:rPr>
          <w:rFonts w:asciiTheme="minorHAnsi" w:hAnsiTheme="minorHAnsi"/>
          <w:lang w:eastAsia="ar-SA"/>
        </w:rPr>
        <w:t xml:space="preserve"> niezależny system zasilania awaryjnego był zdolny do zapewnienia natężenia światła 1400 </w:t>
      </w:r>
      <w:proofErr w:type="spellStart"/>
      <w:r w:rsidRPr="005F7B93">
        <w:rPr>
          <w:rFonts w:asciiTheme="minorHAnsi" w:hAnsiTheme="minorHAnsi"/>
          <w:lang w:eastAsia="ar-SA"/>
        </w:rPr>
        <w:t>Ev</w:t>
      </w:r>
      <w:proofErr w:type="spellEnd"/>
      <w:r w:rsidRPr="005F7B93">
        <w:rPr>
          <w:rFonts w:asciiTheme="minorHAnsi" w:hAnsiTheme="minorHAnsi"/>
          <w:lang w:eastAsia="ar-SA"/>
        </w:rPr>
        <w:t>(lx). Pomiary powinny być wykonane dla kamer nr 1, 7, 8, 9, 13, 14, 19, a plan kamerowy zgodny z Podręcznikiem</w:t>
      </w:r>
      <w:r w:rsidR="001E237C">
        <w:rPr>
          <w:rFonts w:asciiTheme="minorHAnsi" w:hAnsiTheme="minorHAnsi"/>
          <w:lang w:eastAsia="ar-SA"/>
        </w:rPr>
        <w:t xml:space="preserve"> Licencyjnym dla rozgrywek Ekstraklasy</w:t>
      </w:r>
      <w:r w:rsidRPr="005F7B93">
        <w:rPr>
          <w:rFonts w:asciiTheme="minorHAnsi" w:hAnsiTheme="minorHAnsi"/>
          <w:lang w:eastAsia="ar-SA"/>
        </w:rPr>
        <w:t>, zweryfikowany przez podmiot wskazany przez Ekstraklasę S.A. (w formacie według Załącznika I do Podręcznika Licencyjnego PZPN).</w:t>
      </w:r>
    </w:p>
    <w:p w:rsidR="00F97358" w:rsidRPr="005F7B93" w:rsidRDefault="00F97358" w:rsidP="00A675E3">
      <w:pPr>
        <w:pStyle w:val="Nagwek2"/>
      </w:pPr>
      <w:bookmarkStart w:id="11" w:name="_Toc47560267"/>
      <w:r w:rsidRPr="005F7B93">
        <w:t>Stan istniejący</w:t>
      </w:r>
      <w:bookmarkEnd w:id="11"/>
    </w:p>
    <w:p w:rsidR="00F97358" w:rsidRPr="005F7B93" w:rsidRDefault="00F97358" w:rsidP="00F97358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Na obiekcie pod zadaszeniem (wysokość </w:t>
      </w:r>
      <w:r w:rsidR="001E237C">
        <w:rPr>
          <w:rFonts w:asciiTheme="minorHAnsi" w:hAnsiTheme="minorHAnsi" w:cstheme="minorHAnsi"/>
        </w:rPr>
        <w:t xml:space="preserve">ok. </w:t>
      </w:r>
      <w:r w:rsidRPr="005F7B93">
        <w:rPr>
          <w:rFonts w:asciiTheme="minorHAnsi" w:hAnsiTheme="minorHAnsi" w:cstheme="minorHAnsi"/>
        </w:rPr>
        <w:t>35</w:t>
      </w:r>
      <w:r w:rsidR="00D76E54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 xml:space="preserve">m od poziomu murawy) zamontowano 240 </w:t>
      </w:r>
      <w:r w:rsidR="00631F00" w:rsidRPr="005F7B93">
        <w:rPr>
          <w:rFonts w:asciiTheme="minorHAnsi" w:hAnsiTheme="minorHAnsi" w:cstheme="minorHAnsi"/>
        </w:rPr>
        <w:t>szt.</w:t>
      </w:r>
      <w:r w:rsidRPr="005F7B93">
        <w:rPr>
          <w:rFonts w:asciiTheme="minorHAnsi" w:hAnsiTheme="minorHAnsi" w:cstheme="minorHAnsi"/>
        </w:rPr>
        <w:t xml:space="preserve"> projektorów firmy PHILIPS – MVF 404 z lampą metalohalogenkową MHN-SE2000W/400V/956. Część opraw jest w wersji z układem szybkiego ponownego startu – hot </w:t>
      </w:r>
      <w:proofErr w:type="spellStart"/>
      <w:r w:rsidRPr="005F7B93">
        <w:rPr>
          <w:rFonts w:asciiTheme="minorHAnsi" w:hAnsiTheme="minorHAnsi" w:cstheme="minorHAnsi"/>
        </w:rPr>
        <w:t>restrike</w:t>
      </w:r>
      <w:proofErr w:type="spellEnd"/>
      <w:r w:rsidRPr="005F7B93">
        <w:rPr>
          <w:rFonts w:asciiTheme="minorHAnsi" w:hAnsiTheme="minorHAnsi" w:cstheme="minorHAnsi"/>
        </w:rPr>
        <w:t>. Oprawy montowane są do konstrukcji zadaszenia, instalacja elektryczna rozprowadzona jest w korytach instalacyjnych. Pod zadaszeniem nie ma zamontowanych podestów serwisowych. Z 240</w:t>
      </w:r>
      <w:r w:rsidR="00631F00" w:rsidRPr="005F7B93">
        <w:rPr>
          <w:rFonts w:asciiTheme="minorHAnsi" w:hAnsiTheme="minorHAnsi" w:cstheme="minorHAnsi"/>
        </w:rPr>
        <w:t xml:space="preserve"> szt.</w:t>
      </w:r>
      <w:r w:rsidRPr="005F7B93">
        <w:rPr>
          <w:rFonts w:asciiTheme="minorHAnsi" w:hAnsiTheme="minorHAnsi" w:cstheme="minorHAnsi"/>
        </w:rPr>
        <w:t xml:space="preserve"> opraw 12</w:t>
      </w:r>
      <w:r w:rsidR="00631F00" w:rsidRPr="005F7B93">
        <w:rPr>
          <w:rFonts w:asciiTheme="minorHAnsi" w:hAnsiTheme="minorHAnsi" w:cstheme="minorHAnsi"/>
        </w:rPr>
        <w:t xml:space="preserve"> szt.</w:t>
      </w:r>
      <w:r w:rsidRPr="005F7B93">
        <w:rPr>
          <w:rFonts w:asciiTheme="minorHAnsi" w:hAnsiTheme="minorHAnsi" w:cstheme="minorHAnsi"/>
        </w:rPr>
        <w:t xml:space="preserve"> jest nie </w:t>
      </w:r>
      <w:r w:rsidR="00631F00" w:rsidRPr="005F7B93">
        <w:rPr>
          <w:rFonts w:asciiTheme="minorHAnsi" w:hAnsiTheme="minorHAnsi" w:cstheme="minorHAnsi"/>
        </w:rPr>
        <w:t>działających</w:t>
      </w:r>
      <w:r w:rsidRPr="005F7B93">
        <w:rPr>
          <w:rFonts w:asciiTheme="minorHAnsi" w:hAnsiTheme="minorHAnsi" w:cstheme="minorHAnsi"/>
        </w:rPr>
        <w:t xml:space="preserve">. Pomiary natężenia istniejącego stanu wykonane w czerwcu 2020 dostępne są jako </w:t>
      </w:r>
      <w:r w:rsidRPr="005F7B93">
        <w:rPr>
          <w:rFonts w:asciiTheme="minorHAnsi" w:hAnsiTheme="minorHAnsi" w:cstheme="minorHAnsi"/>
        </w:rPr>
        <w:lastRenderedPageBreak/>
        <w:t xml:space="preserve">załącznik </w:t>
      </w:r>
      <w:r w:rsidR="00B60F50" w:rsidRPr="005F7B93">
        <w:rPr>
          <w:rFonts w:asciiTheme="minorHAnsi" w:hAnsiTheme="minorHAnsi" w:cstheme="minorHAnsi"/>
        </w:rPr>
        <w:t xml:space="preserve">nr </w:t>
      </w:r>
      <w:r w:rsidR="00605AFE">
        <w:rPr>
          <w:rFonts w:asciiTheme="minorHAnsi" w:hAnsiTheme="minorHAnsi" w:cstheme="minorHAnsi"/>
        </w:rPr>
        <w:t>1.</w:t>
      </w:r>
      <w:r w:rsidR="00B60F50" w:rsidRPr="005F7B93">
        <w:rPr>
          <w:rFonts w:asciiTheme="minorHAnsi" w:hAnsiTheme="minorHAnsi" w:cstheme="minorHAnsi"/>
        </w:rPr>
        <w:t>2</w:t>
      </w:r>
      <w:r w:rsidRPr="005F7B93">
        <w:rPr>
          <w:rFonts w:asciiTheme="minorHAnsi" w:hAnsiTheme="minorHAnsi" w:cstheme="minorHAnsi"/>
        </w:rPr>
        <w:t>.</w:t>
      </w:r>
    </w:p>
    <w:p w:rsidR="00AA0313" w:rsidRPr="005F7B93" w:rsidRDefault="00AA0313" w:rsidP="00A675E3">
      <w:pPr>
        <w:pStyle w:val="Nagwek2"/>
      </w:pPr>
      <w:bookmarkStart w:id="12" w:name="_Toc47560268"/>
      <w:r w:rsidRPr="005F7B93">
        <w:t>Zakres prac obejmujących modernizację oświetlenia</w:t>
      </w:r>
      <w:bookmarkEnd w:id="12"/>
    </w:p>
    <w:p w:rsidR="00143C9D" w:rsidRPr="005F7B93" w:rsidRDefault="00E4707B" w:rsidP="00E4707B">
      <w:p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Modernizacja</w:t>
      </w:r>
      <w:r w:rsidR="00990CD2" w:rsidRPr="005F7B93">
        <w:rPr>
          <w:rFonts w:asciiTheme="minorHAnsi" w:hAnsiTheme="minorHAnsi"/>
          <w:lang w:eastAsia="ar-SA"/>
        </w:rPr>
        <w:t xml:space="preserve"> oświetlenia</w:t>
      </w:r>
      <w:r w:rsidRPr="005F7B93">
        <w:rPr>
          <w:rFonts w:asciiTheme="minorHAnsi" w:hAnsiTheme="minorHAnsi"/>
          <w:lang w:eastAsia="ar-SA"/>
        </w:rPr>
        <w:t xml:space="preserve"> obejmuje</w:t>
      </w:r>
      <w:r w:rsidR="00143C9D" w:rsidRPr="005F7B93">
        <w:rPr>
          <w:rFonts w:asciiTheme="minorHAnsi" w:hAnsiTheme="minorHAnsi"/>
          <w:lang w:eastAsia="ar-SA"/>
        </w:rPr>
        <w:t xml:space="preserve"> następujący zakres prac:</w:t>
      </w:r>
    </w:p>
    <w:p w:rsidR="00143C9D" w:rsidRPr="005F7B93" w:rsidRDefault="00E4707B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zainstalowanie dodatkowych, nowych</w:t>
      </w:r>
      <w:r w:rsidR="00B57D2B">
        <w:rPr>
          <w:rFonts w:asciiTheme="minorHAnsi" w:hAnsiTheme="minorHAnsi"/>
          <w:lang w:eastAsia="ar-SA"/>
        </w:rPr>
        <w:t>,</w:t>
      </w:r>
      <w:r w:rsidRPr="005F7B93">
        <w:rPr>
          <w:rFonts w:asciiTheme="minorHAnsi" w:hAnsiTheme="minorHAnsi"/>
          <w:lang w:eastAsia="ar-SA"/>
        </w:rPr>
        <w:t xml:space="preserve"> </w:t>
      </w:r>
      <w:r w:rsidR="00A35684" w:rsidRPr="005F7B93">
        <w:rPr>
          <w:rFonts w:asciiTheme="minorHAnsi" w:hAnsiTheme="minorHAnsi"/>
          <w:lang w:eastAsia="ar-SA"/>
        </w:rPr>
        <w:t xml:space="preserve">maksymalnie </w:t>
      </w:r>
      <w:r w:rsidRPr="005F7B93">
        <w:rPr>
          <w:rFonts w:asciiTheme="minorHAnsi" w:hAnsiTheme="minorHAnsi"/>
          <w:lang w:eastAsia="ar-SA"/>
        </w:rPr>
        <w:t>4</w:t>
      </w:r>
      <w:r w:rsidR="00A35684" w:rsidRPr="005F7B93">
        <w:rPr>
          <w:rFonts w:asciiTheme="minorHAnsi" w:hAnsiTheme="minorHAnsi"/>
          <w:lang w:eastAsia="ar-SA"/>
        </w:rPr>
        <w:t>8</w:t>
      </w:r>
      <w:r w:rsidRPr="005F7B93">
        <w:rPr>
          <w:rFonts w:asciiTheme="minorHAnsi" w:hAnsiTheme="minorHAnsi"/>
          <w:lang w:eastAsia="ar-SA"/>
        </w:rPr>
        <w:t xml:space="preserve"> </w:t>
      </w:r>
      <w:r w:rsidR="00A35684" w:rsidRPr="005F7B93">
        <w:rPr>
          <w:rFonts w:asciiTheme="minorHAnsi" w:hAnsiTheme="minorHAnsi"/>
          <w:lang w:eastAsia="ar-SA"/>
        </w:rPr>
        <w:t>szt. opraw w </w:t>
      </w:r>
      <w:r w:rsidRPr="005F7B93">
        <w:rPr>
          <w:rFonts w:asciiTheme="minorHAnsi" w:hAnsiTheme="minorHAnsi"/>
          <w:lang w:eastAsia="ar-SA"/>
        </w:rPr>
        <w:t>technologii LED</w:t>
      </w:r>
      <w:r w:rsidR="0083186C" w:rsidRPr="005F7B93">
        <w:rPr>
          <w:rFonts w:asciiTheme="minorHAnsi" w:hAnsiTheme="minorHAnsi"/>
          <w:lang w:eastAsia="ar-SA"/>
        </w:rPr>
        <w:t xml:space="preserve"> wraz z układami zapłonowymi</w:t>
      </w:r>
      <w:r w:rsidRPr="005F7B93">
        <w:rPr>
          <w:rFonts w:asciiTheme="minorHAnsi" w:hAnsiTheme="minorHAnsi"/>
          <w:lang w:eastAsia="ar-SA"/>
        </w:rPr>
        <w:t xml:space="preserve"> </w:t>
      </w:r>
    </w:p>
    <w:p w:rsidR="00143C9D" w:rsidRPr="005F7B93" w:rsidRDefault="00643C80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dostaw</w:t>
      </w:r>
      <w:r w:rsidR="00BD53F6">
        <w:rPr>
          <w:rFonts w:asciiTheme="minorHAnsi" w:hAnsiTheme="minorHAnsi"/>
          <w:lang w:eastAsia="ar-SA"/>
        </w:rPr>
        <w:t>ę</w:t>
      </w:r>
      <w:r w:rsidR="00363555" w:rsidRPr="005F7B93">
        <w:rPr>
          <w:rFonts w:asciiTheme="minorHAnsi" w:hAnsiTheme="minorHAnsi"/>
          <w:lang w:eastAsia="ar-SA"/>
        </w:rPr>
        <w:t xml:space="preserve"> i uruchomienie</w:t>
      </w:r>
      <w:r w:rsidRPr="005F7B93">
        <w:rPr>
          <w:rFonts w:asciiTheme="minorHAnsi" w:hAnsiTheme="minorHAnsi"/>
          <w:lang w:eastAsia="ar-SA"/>
        </w:rPr>
        <w:t xml:space="preserve"> </w:t>
      </w:r>
      <w:r w:rsidR="00143C9D" w:rsidRPr="005F7B93">
        <w:rPr>
          <w:rFonts w:asciiTheme="minorHAnsi" w:hAnsiTheme="minorHAnsi"/>
          <w:lang w:eastAsia="ar-SA"/>
        </w:rPr>
        <w:t>system</w:t>
      </w:r>
      <w:r w:rsidRPr="005F7B93">
        <w:rPr>
          <w:rFonts w:asciiTheme="minorHAnsi" w:hAnsiTheme="minorHAnsi"/>
          <w:lang w:eastAsia="ar-SA"/>
        </w:rPr>
        <w:t>u</w:t>
      </w:r>
      <w:r w:rsidR="00E4707B" w:rsidRPr="005F7B93">
        <w:rPr>
          <w:rFonts w:asciiTheme="minorHAnsi" w:hAnsiTheme="minorHAnsi"/>
          <w:lang w:eastAsia="ar-SA"/>
        </w:rPr>
        <w:t xml:space="preserve"> sterowania</w:t>
      </w:r>
      <w:r w:rsidR="00143C9D" w:rsidRPr="005F7B93">
        <w:rPr>
          <w:rFonts w:asciiTheme="minorHAnsi" w:hAnsiTheme="minorHAnsi"/>
          <w:lang w:eastAsia="ar-SA"/>
        </w:rPr>
        <w:t xml:space="preserve"> oświetleniem</w:t>
      </w:r>
      <w:r w:rsidRPr="005F7B93">
        <w:rPr>
          <w:rFonts w:asciiTheme="minorHAnsi" w:hAnsiTheme="minorHAnsi"/>
          <w:lang w:eastAsia="ar-SA"/>
        </w:rPr>
        <w:t xml:space="preserve"> LED wraz z integracją</w:t>
      </w:r>
      <w:r w:rsidR="0077678C" w:rsidRPr="005F7B93">
        <w:rPr>
          <w:rFonts w:asciiTheme="minorHAnsi" w:hAnsiTheme="minorHAnsi"/>
          <w:lang w:eastAsia="ar-SA"/>
        </w:rPr>
        <w:t xml:space="preserve"> z istniejącym systemem BMS</w:t>
      </w:r>
      <w:r w:rsidRPr="005F7B93">
        <w:rPr>
          <w:rFonts w:asciiTheme="minorHAnsi" w:hAnsiTheme="minorHAnsi"/>
          <w:lang w:eastAsia="ar-SA"/>
        </w:rPr>
        <w:t xml:space="preserve"> </w:t>
      </w:r>
      <w:r w:rsidR="00E4707B" w:rsidRPr="005F7B93">
        <w:rPr>
          <w:rFonts w:asciiTheme="minorHAnsi" w:hAnsiTheme="minorHAnsi"/>
          <w:lang w:eastAsia="ar-SA"/>
        </w:rPr>
        <w:t xml:space="preserve"> </w:t>
      </w:r>
    </w:p>
    <w:p w:rsidR="00363555" w:rsidRPr="005F7B93" w:rsidRDefault="00363555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dostaw</w:t>
      </w:r>
      <w:r w:rsidR="00BD53F6">
        <w:rPr>
          <w:rFonts w:asciiTheme="minorHAnsi" w:hAnsiTheme="minorHAnsi"/>
          <w:lang w:eastAsia="ar-SA"/>
        </w:rPr>
        <w:t>ę</w:t>
      </w:r>
      <w:r w:rsidR="002B26D3" w:rsidRPr="005F7B93">
        <w:rPr>
          <w:rFonts w:asciiTheme="minorHAnsi" w:hAnsiTheme="minorHAnsi"/>
          <w:lang w:eastAsia="ar-SA"/>
        </w:rPr>
        <w:t xml:space="preserve"> komputera PC oraz dwóch tabletów wraz z oprogramowaniem</w:t>
      </w:r>
      <w:r w:rsidR="001E237C">
        <w:rPr>
          <w:rFonts w:asciiTheme="minorHAnsi" w:hAnsiTheme="minorHAnsi"/>
          <w:lang w:eastAsia="ar-SA"/>
        </w:rPr>
        <w:t xml:space="preserve"> do sterowani</w:t>
      </w:r>
      <w:r w:rsidR="00CF6C8E">
        <w:rPr>
          <w:rFonts w:asciiTheme="minorHAnsi" w:hAnsiTheme="minorHAnsi"/>
          <w:lang w:eastAsia="ar-SA"/>
        </w:rPr>
        <w:t>a</w:t>
      </w:r>
      <w:r w:rsidR="001E237C">
        <w:rPr>
          <w:rFonts w:asciiTheme="minorHAnsi" w:hAnsiTheme="minorHAnsi"/>
          <w:lang w:eastAsia="ar-SA"/>
        </w:rPr>
        <w:t xml:space="preserve"> oświetleniem</w:t>
      </w:r>
    </w:p>
    <w:p w:rsidR="00143C9D" w:rsidRPr="005F7B93" w:rsidRDefault="00546B38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uruchomienie</w:t>
      </w:r>
      <w:r w:rsidR="00E4707B" w:rsidRPr="005F7B93">
        <w:rPr>
          <w:rFonts w:asciiTheme="minorHAnsi" w:hAnsiTheme="minorHAnsi"/>
          <w:lang w:eastAsia="ar-SA"/>
        </w:rPr>
        <w:t xml:space="preserve"> nie działających 12 szt. istniejących opr</w:t>
      </w:r>
      <w:r w:rsidR="00143C9D" w:rsidRPr="005F7B93">
        <w:rPr>
          <w:rFonts w:asciiTheme="minorHAnsi" w:hAnsiTheme="minorHAnsi"/>
          <w:lang w:eastAsia="ar-SA"/>
        </w:rPr>
        <w:t>aw oświetlenia głównego murawy</w:t>
      </w:r>
      <w:r w:rsidR="0083186C" w:rsidRPr="005F7B93">
        <w:rPr>
          <w:rFonts w:asciiTheme="minorHAnsi" w:hAnsiTheme="minorHAnsi"/>
          <w:lang w:eastAsia="ar-SA"/>
        </w:rPr>
        <w:t xml:space="preserve"> (wymiana lamp oraz zapłonników wg potrzeb)</w:t>
      </w:r>
    </w:p>
    <w:p w:rsidR="00143C9D" w:rsidRPr="005F7B93" w:rsidRDefault="00143C9D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rozbudow</w:t>
      </w:r>
      <w:r w:rsidR="00BD53F6">
        <w:rPr>
          <w:rFonts w:asciiTheme="minorHAnsi" w:hAnsiTheme="minorHAnsi"/>
          <w:lang w:eastAsia="ar-SA"/>
        </w:rPr>
        <w:t>ę</w:t>
      </w:r>
      <w:r w:rsidR="00E4707B" w:rsidRPr="005F7B93">
        <w:rPr>
          <w:rFonts w:asciiTheme="minorHAnsi" w:hAnsiTheme="minorHAnsi"/>
          <w:lang w:eastAsia="ar-SA"/>
        </w:rPr>
        <w:t xml:space="preserve"> istniejących rozdzielnic elektrycznych odpowiedzialnych za zasilanie oświetlenia płyty głównej. Są to rozdzielnice oznaczone odpowiednio: </w:t>
      </w:r>
      <w:proofErr w:type="spellStart"/>
      <w:r w:rsidR="00E4707B" w:rsidRPr="005F7B93">
        <w:rPr>
          <w:rFonts w:asciiTheme="minorHAnsi" w:hAnsiTheme="minorHAnsi"/>
          <w:lang w:eastAsia="ar-SA"/>
        </w:rPr>
        <w:t>SxxxROBxx</w:t>
      </w:r>
      <w:proofErr w:type="spellEnd"/>
      <w:r w:rsidR="00E4707B" w:rsidRPr="005F7B93">
        <w:rPr>
          <w:rFonts w:asciiTheme="minorHAnsi" w:hAnsiTheme="minorHAnsi"/>
          <w:lang w:eastAsia="ar-SA"/>
        </w:rPr>
        <w:t>. Rozdzielnice znajdują się w pomieszczeniach technicznych zlokalizow</w:t>
      </w:r>
      <w:r w:rsidR="009078BB" w:rsidRPr="005F7B93">
        <w:rPr>
          <w:rFonts w:asciiTheme="minorHAnsi" w:hAnsiTheme="minorHAnsi"/>
          <w:lang w:eastAsia="ar-SA"/>
        </w:rPr>
        <w:t xml:space="preserve">anych na poziomie </w:t>
      </w:r>
      <w:r w:rsidR="00A35684" w:rsidRPr="005F7B93">
        <w:rPr>
          <w:rFonts w:asciiTheme="minorHAnsi" w:hAnsiTheme="minorHAnsi"/>
          <w:lang w:eastAsia="ar-SA"/>
        </w:rPr>
        <w:t xml:space="preserve">+4 oraz </w:t>
      </w:r>
      <w:r w:rsidR="009078BB" w:rsidRPr="005F7B93">
        <w:rPr>
          <w:rFonts w:asciiTheme="minorHAnsi" w:hAnsiTheme="minorHAnsi"/>
          <w:lang w:eastAsia="ar-SA"/>
        </w:rPr>
        <w:t>+5 obiektu</w:t>
      </w:r>
    </w:p>
    <w:p w:rsidR="00E4707B" w:rsidRPr="005F7B93" w:rsidRDefault="0083186C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zabudow</w:t>
      </w:r>
      <w:r w:rsidR="00BD53F6">
        <w:rPr>
          <w:rFonts w:asciiTheme="minorHAnsi" w:hAnsiTheme="minorHAnsi"/>
          <w:lang w:eastAsia="ar-SA"/>
        </w:rPr>
        <w:t>ę</w:t>
      </w:r>
      <w:r w:rsidRPr="005F7B93">
        <w:rPr>
          <w:rFonts w:asciiTheme="minorHAnsi" w:hAnsiTheme="minorHAnsi"/>
          <w:lang w:eastAsia="ar-SA"/>
        </w:rPr>
        <w:t xml:space="preserve"> układów zapłonowych</w:t>
      </w:r>
      <w:r w:rsidR="00E4707B" w:rsidRPr="005F7B93">
        <w:rPr>
          <w:rFonts w:asciiTheme="minorHAnsi" w:hAnsiTheme="minorHAnsi"/>
          <w:lang w:eastAsia="ar-SA"/>
        </w:rPr>
        <w:t xml:space="preserve"> projektowanych opraw oświetlenia</w:t>
      </w:r>
      <w:r w:rsidRPr="005F7B93">
        <w:rPr>
          <w:rFonts w:asciiTheme="minorHAnsi" w:hAnsiTheme="minorHAnsi"/>
          <w:lang w:eastAsia="ar-SA"/>
        </w:rPr>
        <w:t xml:space="preserve"> w pomieszczeniach rozdzielnic elektrycznych odpowiedzialnych za zasilanie oświetlenia płyty boiska</w:t>
      </w:r>
    </w:p>
    <w:p w:rsidR="00B75D13" w:rsidRPr="005F7B93" w:rsidRDefault="00B75D13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ułożenie kabli zasilających oprawy na istniejących trasach kablowych</w:t>
      </w:r>
    </w:p>
    <w:p w:rsidR="00C5442D" w:rsidRPr="005F7B93" w:rsidRDefault="00C5442D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wykonanie kompletnych pomiarów instalacji elektrycznych</w:t>
      </w:r>
    </w:p>
    <w:p w:rsidR="0077678C" w:rsidRPr="005F7B93" w:rsidRDefault="0077678C" w:rsidP="00143C9D">
      <w:pPr>
        <w:pStyle w:val="Akapitzlist"/>
        <w:numPr>
          <w:ilvl w:val="0"/>
          <w:numId w:val="20"/>
        </w:numPr>
        <w:rPr>
          <w:rFonts w:asciiTheme="minorHAnsi" w:hAnsiTheme="minorHAnsi"/>
          <w:lang w:eastAsia="ar-SA"/>
        </w:rPr>
      </w:pPr>
      <w:r w:rsidRPr="005F7B93">
        <w:rPr>
          <w:rFonts w:asciiTheme="minorHAnsi" w:hAnsiTheme="minorHAnsi"/>
          <w:lang w:eastAsia="ar-SA"/>
        </w:rPr>
        <w:t>opracowanie projektu wykonawczego instalacji elektrycznej</w:t>
      </w:r>
    </w:p>
    <w:p w:rsidR="00BB0C8C" w:rsidRPr="005F7B93" w:rsidRDefault="00BB0C8C" w:rsidP="00A675E3">
      <w:pPr>
        <w:pStyle w:val="Nagwek2"/>
      </w:pPr>
      <w:bookmarkStart w:id="13" w:name="_Toc47560269"/>
      <w:r w:rsidRPr="005F7B93">
        <w:t>Wymagane dokumenty i opracowanie dotyczące opraw oświetleniowych</w:t>
      </w:r>
      <w:bookmarkEnd w:id="13"/>
    </w:p>
    <w:p w:rsidR="00C51060" w:rsidRPr="00993F8F" w:rsidRDefault="003C5EB1" w:rsidP="00C51060">
      <w:pPr>
        <w:rPr>
          <w:rFonts w:ascii="Calibri" w:hAnsi="Calibri" w:cs="Calibri"/>
          <w:lang w:eastAsia="ar-SA"/>
        </w:rPr>
      </w:pPr>
      <w:r w:rsidRPr="00993F8F">
        <w:rPr>
          <w:rFonts w:ascii="Calibri" w:hAnsi="Calibri" w:cs="Calibri"/>
          <w:lang w:eastAsia="ar-SA"/>
        </w:rPr>
        <w:t>W związku z montażem dodatkowych opraw LED oraz sumowaniem się natężenia oświetlenia z istniejącym, Wykonawca w celu potwierdzenia, że oferowane rozwiązanie odpowiada wymogom określonym w niniejszym dokumencie, powinien przedstawić następujące opracowania i dokumenty:</w:t>
      </w:r>
    </w:p>
    <w:p w:rsidR="00C51060" w:rsidRPr="00EA38B2" w:rsidRDefault="003C5EB1" w:rsidP="002C4A34">
      <w:pPr>
        <w:pStyle w:val="Akapitzlist"/>
        <w:numPr>
          <w:ilvl w:val="0"/>
          <w:numId w:val="9"/>
        </w:num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 xml:space="preserve">symulacje komputerowe (obliczenia) wykonane przy założeniach i wymaganiach zawartych w </w:t>
      </w:r>
      <w:proofErr w:type="spellStart"/>
      <w:r w:rsidRPr="00EA38B2">
        <w:rPr>
          <w:rFonts w:ascii="Calibri" w:hAnsi="Calibri" w:cs="Calibri"/>
          <w:lang w:eastAsia="ar-SA"/>
        </w:rPr>
        <w:t>pkt</w:t>
      </w:r>
      <w:proofErr w:type="spellEnd"/>
      <w:r w:rsidRPr="00EA38B2">
        <w:rPr>
          <w:rFonts w:ascii="Calibri" w:hAnsi="Calibri" w:cs="Calibri"/>
          <w:lang w:eastAsia="ar-SA"/>
        </w:rPr>
        <w:t xml:space="preserve"> 2.5; wyniki obliczeń powinny być przedstawione w formacie pdf, oraz dostarczone na nośniku danych w wersji edytowalnej w ogólnodostępnych programach obliczeniowych </w:t>
      </w:r>
      <w:proofErr w:type="spellStart"/>
      <w:r w:rsidRPr="00EA38B2">
        <w:rPr>
          <w:rFonts w:ascii="Calibri" w:hAnsi="Calibri" w:cs="Calibri"/>
          <w:lang w:eastAsia="ar-SA"/>
        </w:rPr>
        <w:t>Relux</w:t>
      </w:r>
      <w:proofErr w:type="spellEnd"/>
      <w:r w:rsidRPr="00EA38B2">
        <w:rPr>
          <w:rFonts w:ascii="Calibri" w:hAnsi="Calibri" w:cs="Calibri"/>
          <w:lang w:eastAsia="ar-SA"/>
        </w:rPr>
        <w:t xml:space="preserve"> lub </w:t>
      </w:r>
      <w:proofErr w:type="spellStart"/>
      <w:r w:rsidRPr="00EA38B2">
        <w:rPr>
          <w:rFonts w:ascii="Calibri" w:hAnsi="Calibri" w:cs="Calibri"/>
          <w:lang w:eastAsia="ar-SA"/>
        </w:rPr>
        <w:t>Dialux</w:t>
      </w:r>
      <w:proofErr w:type="spellEnd"/>
      <w:r w:rsidRPr="00EA38B2">
        <w:rPr>
          <w:rFonts w:ascii="Calibri" w:hAnsi="Calibri" w:cs="Calibri"/>
          <w:lang w:eastAsia="ar-SA"/>
        </w:rPr>
        <w:t xml:space="preserve">, </w:t>
      </w:r>
      <w:r w:rsidR="00163C3F">
        <w:rPr>
          <w:rFonts w:ascii="Calibri" w:hAnsi="Calibri" w:cs="Calibri"/>
          <w:lang w:eastAsia="ar-SA"/>
        </w:rPr>
        <w:t>oraz w wersji papierowej,</w:t>
      </w:r>
    </w:p>
    <w:p w:rsidR="00C51060" w:rsidRPr="00EA38B2" w:rsidRDefault="003C5EB1" w:rsidP="002C4A34">
      <w:pPr>
        <w:pStyle w:val="Akapitzlist"/>
        <w:numPr>
          <w:ilvl w:val="0"/>
          <w:numId w:val="9"/>
        </w:num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 xml:space="preserve">pliki fotometryczne w formacie </w:t>
      </w:r>
      <w:proofErr w:type="spellStart"/>
      <w:r w:rsidRPr="00EA38B2">
        <w:rPr>
          <w:rFonts w:ascii="Calibri" w:hAnsi="Calibri" w:cs="Calibri"/>
          <w:lang w:eastAsia="ar-SA"/>
        </w:rPr>
        <w:t>ldt</w:t>
      </w:r>
      <w:proofErr w:type="spellEnd"/>
      <w:r w:rsidRPr="00EA38B2">
        <w:rPr>
          <w:rFonts w:ascii="Calibri" w:hAnsi="Calibri" w:cs="Calibri"/>
          <w:lang w:eastAsia="ar-SA"/>
        </w:rPr>
        <w:t xml:space="preserve"> zastosowanych w obliczeniach opraw,</w:t>
      </w:r>
    </w:p>
    <w:p w:rsidR="0061564D" w:rsidRPr="00EA38B2" w:rsidRDefault="003C5EB1" w:rsidP="0061564D">
      <w:pPr>
        <w:pStyle w:val="Akapitzlist"/>
        <w:numPr>
          <w:ilvl w:val="0"/>
          <w:numId w:val="9"/>
        </w:num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 xml:space="preserve">karty katalogowe oferowanych opraw, zasilaczy oraz elementów systemu sterowania oświetleniem, potwierdzające spełnienie  wymagań zawartych w </w:t>
      </w:r>
      <w:proofErr w:type="spellStart"/>
      <w:r w:rsidRPr="00EA38B2">
        <w:rPr>
          <w:rFonts w:ascii="Calibri" w:hAnsi="Calibri" w:cs="Calibri"/>
          <w:lang w:eastAsia="ar-SA"/>
        </w:rPr>
        <w:t>pkt</w:t>
      </w:r>
      <w:proofErr w:type="spellEnd"/>
      <w:r w:rsidRPr="00EA38B2">
        <w:rPr>
          <w:rFonts w:ascii="Calibri" w:hAnsi="Calibri" w:cs="Calibri"/>
          <w:lang w:eastAsia="ar-SA"/>
        </w:rPr>
        <w:t xml:space="preserve"> 2.6 i 2.7</w:t>
      </w:r>
      <w:r w:rsidR="00EA375C">
        <w:rPr>
          <w:rFonts w:ascii="Calibri" w:hAnsi="Calibri" w:cs="Calibri"/>
          <w:lang w:eastAsia="ar-SA"/>
        </w:rPr>
        <w:t>.3</w:t>
      </w:r>
      <w:r w:rsidR="00163C3F">
        <w:rPr>
          <w:rFonts w:ascii="Calibri" w:hAnsi="Calibri" w:cs="Calibri"/>
          <w:lang w:eastAsia="ar-SA"/>
        </w:rPr>
        <w:t>,</w:t>
      </w:r>
    </w:p>
    <w:p w:rsidR="003B2935" w:rsidRPr="00EA38B2" w:rsidRDefault="00AA2DEC" w:rsidP="00993F8F">
      <w:pPr>
        <w:pStyle w:val="Akapitzlist"/>
        <w:numPr>
          <w:ilvl w:val="0"/>
          <w:numId w:val="9"/>
        </w:num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>deklaracje</w:t>
      </w:r>
      <w:r w:rsidR="003B2935" w:rsidRPr="00EA38B2">
        <w:rPr>
          <w:rFonts w:ascii="Calibri" w:hAnsi="Calibri" w:cs="Calibri"/>
          <w:lang w:eastAsia="ar-SA"/>
        </w:rPr>
        <w:t xml:space="preserve"> zgodności, </w:t>
      </w:r>
      <w:r w:rsidR="003B2935" w:rsidRPr="00EA38B2">
        <w:rPr>
          <w:rFonts w:ascii="Calibri" w:hAnsi="Calibri" w:cs="Calibri"/>
        </w:rPr>
        <w:t>certyfikaty ENEC i deklaracje CE</w:t>
      </w:r>
      <w:r w:rsidR="00163C3F">
        <w:rPr>
          <w:rFonts w:ascii="Calibri" w:hAnsi="Calibri" w:cs="Calibri"/>
        </w:rPr>
        <w:t>,</w:t>
      </w:r>
    </w:p>
    <w:p w:rsidR="005034D2" w:rsidRPr="00EA38B2" w:rsidRDefault="005034D2" w:rsidP="005034D2">
      <w:pPr>
        <w:pStyle w:val="Akapitzlist"/>
        <w:widowControl/>
        <w:numPr>
          <w:ilvl w:val="0"/>
          <w:numId w:val="9"/>
        </w:numPr>
        <w:spacing w:before="120" w:after="120"/>
        <w:ind w:right="1"/>
        <w:contextualSpacing/>
        <w:rPr>
          <w:rFonts w:ascii="Calibri" w:hAnsi="Calibri" w:cs="Calibri"/>
        </w:rPr>
      </w:pPr>
      <w:r w:rsidRPr="00EA38B2">
        <w:rPr>
          <w:rFonts w:ascii="Calibri" w:hAnsi="Calibri" w:cs="Calibri"/>
        </w:rPr>
        <w:t>wykaz co najmniej dwóch obiektów sportowych o pojemności minimum 15 000 miejsc siedzących, na których prowadzone są rozgrywki sportowe rangi krajowej lub międzynarodowej, na których w okresie ostatnich 3 (trzech) lat przed upływem terminu składania ofert zamontowano wybrane przez Wykonawcę oprawy oświetlenia</w:t>
      </w:r>
    </w:p>
    <w:p w:rsidR="0061564D" w:rsidRPr="00993F8F" w:rsidRDefault="00AA2DEC" w:rsidP="0061564D">
      <w:pPr>
        <w:rPr>
          <w:rFonts w:ascii="Calibri" w:hAnsi="Calibri" w:cs="Calibri"/>
          <w:lang w:eastAsia="ar-SA"/>
        </w:rPr>
      </w:pPr>
      <w:r w:rsidRPr="00EA38B2">
        <w:rPr>
          <w:rFonts w:ascii="Calibri" w:hAnsi="Calibri" w:cs="Calibri"/>
          <w:lang w:eastAsia="ar-SA"/>
        </w:rPr>
        <w:t>Zamawiający zastrzega sobie prawo weryfikacji poprawności wykonanych symulacji. Zamawiający zastrzega sobie prawo żądania przedstawienia wyników badań laboratoryjnych dotyczących właściwości opraw.</w:t>
      </w:r>
    </w:p>
    <w:p w:rsidR="00194E49" w:rsidRPr="005F7B93" w:rsidRDefault="00194E49" w:rsidP="00A675E3">
      <w:pPr>
        <w:pStyle w:val="Nagwek2"/>
      </w:pPr>
      <w:bookmarkStart w:id="14" w:name="_Toc47560270"/>
      <w:r w:rsidRPr="005F7B93">
        <w:t>Symulacje (obliczenia) natężenia oświetlenia</w:t>
      </w:r>
      <w:bookmarkEnd w:id="14"/>
      <w:r w:rsidR="003B2935">
        <w:t xml:space="preserve">, o których mowa w </w:t>
      </w:r>
      <w:proofErr w:type="spellStart"/>
      <w:r w:rsidR="003B2935">
        <w:t>pkt</w:t>
      </w:r>
      <w:proofErr w:type="spellEnd"/>
      <w:r w:rsidR="003B2935">
        <w:t xml:space="preserve"> 2.4 </w:t>
      </w:r>
    </w:p>
    <w:p w:rsidR="00194E49" w:rsidRPr="005F7B93" w:rsidRDefault="00194E49" w:rsidP="00194E49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Zamawiający wymaga przedstawienia obliczeń obejmujących trzy scenariusze oświetlenia.</w:t>
      </w:r>
    </w:p>
    <w:p w:rsidR="00ED676C" w:rsidRPr="005F7B93" w:rsidRDefault="00A35684" w:rsidP="00194E49">
      <w:pPr>
        <w:pStyle w:val="Nagwek3"/>
      </w:pPr>
      <w:bookmarkStart w:id="15" w:name="_Toc47560271"/>
      <w:r w:rsidRPr="005F7B93">
        <w:t>Symulacja</w:t>
      </w:r>
      <w:r w:rsidR="00194E49" w:rsidRPr="005F7B93">
        <w:t xml:space="preserve"> nr 1 – stan istniejący</w:t>
      </w:r>
      <w:bookmarkEnd w:id="15"/>
    </w:p>
    <w:p w:rsidR="00194E49" w:rsidRPr="005F7B93" w:rsidRDefault="00194E49" w:rsidP="00194E49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Wykonawca zobowiązany jest przedstawić symulacje stanu istniejącego uwzględniając rzeczywisty spadek strumienia świetlnego istniejących opraw. Na podstawie załączonego </w:t>
      </w:r>
      <w:r w:rsidR="003340FE" w:rsidRPr="005F7B93">
        <w:rPr>
          <w:rFonts w:asciiTheme="minorHAnsi" w:hAnsiTheme="minorHAnsi" w:cstheme="minorHAnsi"/>
        </w:rPr>
        <w:t xml:space="preserve">istniejącego </w:t>
      </w:r>
      <w:r w:rsidRPr="005F7B93">
        <w:rPr>
          <w:rFonts w:asciiTheme="minorHAnsi" w:hAnsiTheme="minorHAnsi" w:cstheme="minorHAnsi"/>
        </w:rPr>
        <w:t xml:space="preserve">projektu oświetlenia (załącznik </w:t>
      </w:r>
      <w:r w:rsidR="003340FE" w:rsidRPr="005F7B93">
        <w:rPr>
          <w:rFonts w:asciiTheme="minorHAnsi" w:hAnsiTheme="minorHAnsi" w:cstheme="minorHAnsi"/>
        </w:rPr>
        <w:t xml:space="preserve">nr </w:t>
      </w:r>
      <w:r w:rsidR="00605AFE">
        <w:rPr>
          <w:rFonts w:asciiTheme="minorHAnsi" w:hAnsiTheme="minorHAnsi" w:cstheme="minorHAnsi"/>
        </w:rPr>
        <w:t>1.</w:t>
      </w:r>
      <w:r w:rsidR="003340FE" w:rsidRPr="005F7B93">
        <w:rPr>
          <w:rFonts w:asciiTheme="minorHAnsi" w:hAnsiTheme="minorHAnsi" w:cstheme="minorHAnsi"/>
        </w:rPr>
        <w:t>1</w:t>
      </w:r>
      <w:r w:rsidRPr="005F7B93">
        <w:rPr>
          <w:rFonts w:asciiTheme="minorHAnsi" w:hAnsiTheme="minorHAnsi" w:cstheme="minorHAnsi"/>
        </w:rPr>
        <w:t xml:space="preserve">) oraz pomiarów natężenia </w:t>
      </w:r>
      <w:r w:rsidR="00546B38" w:rsidRPr="005F7B93">
        <w:rPr>
          <w:rFonts w:asciiTheme="minorHAnsi" w:hAnsiTheme="minorHAnsi" w:cstheme="minorHAnsi"/>
        </w:rPr>
        <w:t>oświetlenia (</w:t>
      </w:r>
      <w:r w:rsidRPr="005F7B93">
        <w:rPr>
          <w:rFonts w:asciiTheme="minorHAnsi" w:hAnsiTheme="minorHAnsi" w:cstheme="minorHAnsi"/>
        </w:rPr>
        <w:t xml:space="preserve">załącznik </w:t>
      </w:r>
      <w:r w:rsidR="003340FE" w:rsidRPr="005F7B93">
        <w:rPr>
          <w:rFonts w:asciiTheme="minorHAnsi" w:hAnsiTheme="minorHAnsi" w:cstheme="minorHAnsi"/>
        </w:rPr>
        <w:t xml:space="preserve">nr </w:t>
      </w:r>
      <w:r w:rsidR="00605AFE">
        <w:rPr>
          <w:rFonts w:asciiTheme="minorHAnsi" w:hAnsiTheme="minorHAnsi" w:cstheme="minorHAnsi"/>
        </w:rPr>
        <w:t>1.</w:t>
      </w:r>
      <w:r w:rsidR="004959FD" w:rsidRPr="005F7B93">
        <w:rPr>
          <w:rFonts w:asciiTheme="minorHAnsi" w:hAnsiTheme="minorHAnsi" w:cstheme="minorHAnsi"/>
        </w:rPr>
        <w:t>2</w:t>
      </w:r>
      <w:r w:rsidR="00546B38" w:rsidRPr="005F7B93">
        <w:rPr>
          <w:rFonts w:asciiTheme="minorHAnsi" w:hAnsiTheme="minorHAnsi" w:cstheme="minorHAnsi"/>
        </w:rPr>
        <w:t>) zasymulować</w:t>
      </w:r>
      <w:r w:rsidRPr="005F7B93">
        <w:rPr>
          <w:rFonts w:asciiTheme="minorHAnsi" w:hAnsiTheme="minorHAnsi" w:cstheme="minorHAnsi"/>
        </w:rPr>
        <w:t xml:space="preserve"> stan istniejący oświetlenia na murawie. Do symulacji należy użyć plików fotometrycznych oprawy MVF 404 w ilości 240</w:t>
      </w:r>
      <w:r w:rsidR="00232D59" w:rsidRPr="005F7B93">
        <w:rPr>
          <w:rFonts w:asciiTheme="minorHAnsi" w:hAnsiTheme="minorHAnsi" w:cstheme="minorHAnsi"/>
        </w:rPr>
        <w:t xml:space="preserve"> szt.</w:t>
      </w:r>
      <w:r w:rsidRPr="005F7B93">
        <w:rPr>
          <w:rFonts w:asciiTheme="minorHAnsi" w:hAnsiTheme="minorHAnsi" w:cstheme="minorHAnsi"/>
        </w:rPr>
        <w:t xml:space="preserve"> wg specyfikacji zawartej w załączniku </w:t>
      </w:r>
      <w:r w:rsidR="004959FD" w:rsidRPr="005F7B93">
        <w:rPr>
          <w:rFonts w:asciiTheme="minorHAnsi" w:hAnsiTheme="minorHAnsi" w:cstheme="minorHAnsi"/>
        </w:rPr>
        <w:t>nr 1</w:t>
      </w:r>
      <w:r w:rsidR="00605AFE">
        <w:rPr>
          <w:rFonts w:asciiTheme="minorHAnsi" w:hAnsiTheme="minorHAnsi" w:cstheme="minorHAnsi"/>
        </w:rPr>
        <w:t>.1</w:t>
      </w:r>
      <w:r w:rsidR="003340FE" w:rsidRPr="005F7B93">
        <w:rPr>
          <w:rFonts w:asciiTheme="minorHAnsi" w:hAnsiTheme="minorHAnsi" w:cstheme="minorHAnsi"/>
        </w:rPr>
        <w:t>.</w:t>
      </w:r>
    </w:p>
    <w:p w:rsidR="00194E49" w:rsidRPr="005F7B93" w:rsidRDefault="00194E49" w:rsidP="00194E49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lastRenderedPageBreak/>
        <w:t>Dane wejściowe do obliczeń: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wymiary boiska 105x68</w:t>
      </w:r>
      <w:r w:rsidR="00232D59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>m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współczynnik odbicia murawy 25%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wysokość zamontowania opraw 35</w:t>
      </w:r>
      <w:r w:rsidR="00232D59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>m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rozsył opraw, miejsce </w:t>
      </w:r>
      <w:r w:rsidR="00546B38" w:rsidRPr="005F7B93">
        <w:rPr>
          <w:rFonts w:asciiTheme="minorHAnsi" w:hAnsiTheme="minorHAnsi" w:cstheme="minorHAnsi"/>
        </w:rPr>
        <w:t>montażu</w:t>
      </w:r>
      <w:r w:rsidRPr="005F7B93">
        <w:rPr>
          <w:rFonts w:asciiTheme="minorHAnsi" w:hAnsiTheme="minorHAnsi" w:cstheme="minorHAnsi"/>
        </w:rPr>
        <w:t xml:space="preserve"> oraz współrzędne </w:t>
      </w:r>
      <w:r w:rsidR="00546B38" w:rsidRPr="005F7B93">
        <w:rPr>
          <w:rFonts w:asciiTheme="minorHAnsi" w:hAnsiTheme="minorHAnsi" w:cstheme="minorHAnsi"/>
        </w:rPr>
        <w:t>punktów celowania</w:t>
      </w:r>
      <w:r w:rsidRPr="005F7B93">
        <w:rPr>
          <w:rFonts w:asciiTheme="minorHAnsi" w:hAnsiTheme="minorHAnsi" w:cstheme="minorHAnsi"/>
        </w:rPr>
        <w:t xml:space="preserve"> opraw wg załącznika</w:t>
      </w:r>
      <w:r w:rsidR="003340FE" w:rsidRPr="005F7B93">
        <w:rPr>
          <w:rFonts w:asciiTheme="minorHAnsi" w:hAnsiTheme="minorHAnsi" w:cstheme="minorHAnsi"/>
        </w:rPr>
        <w:t xml:space="preserve"> nr </w:t>
      </w:r>
      <w:r w:rsidR="005B54A9" w:rsidRPr="005F7B93">
        <w:rPr>
          <w:rFonts w:asciiTheme="minorHAnsi" w:hAnsiTheme="minorHAnsi" w:cstheme="minorHAnsi"/>
        </w:rPr>
        <w:t>1</w:t>
      </w:r>
      <w:r w:rsidR="00605AFE">
        <w:rPr>
          <w:rFonts w:asciiTheme="minorHAnsi" w:hAnsiTheme="minorHAnsi" w:cstheme="minorHAnsi"/>
        </w:rPr>
        <w:t>.1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siatka obliczeniowa o skoku 10x10</w:t>
      </w:r>
      <w:r w:rsidR="00232D59" w:rsidRPr="005F7B93">
        <w:rPr>
          <w:rFonts w:asciiTheme="minorHAnsi" w:hAnsiTheme="minorHAnsi" w:cstheme="minorHAnsi"/>
        </w:rPr>
        <w:t xml:space="preserve"> </w:t>
      </w:r>
      <w:r w:rsidR="00546B38" w:rsidRPr="005F7B93">
        <w:rPr>
          <w:rFonts w:asciiTheme="minorHAnsi" w:hAnsiTheme="minorHAnsi" w:cstheme="minorHAnsi"/>
        </w:rPr>
        <w:t>m</w:t>
      </w:r>
      <w:r w:rsidRPr="005F7B93">
        <w:rPr>
          <w:rFonts w:asciiTheme="minorHAnsi" w:hAnsiTheme="minorHAnsi" w:cstheme="minorHAnsi"/>
        </w:rPr>
        <w:t xml:space="preserve"> (skrajne punkty na liniach bocznych boiska)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wysokość siatki obliczeniowe dla natężenia pionowego 1</w:t>
      </w:r>
      <w:r w:rsidR="00232D59" w:rsidRPr="005F7B93">
        <w:rPr>
          <w:rFonts w:asciiTheme="minorHAnsi" w:hAnsiTheme="minorHAnsi" w:cstheme="minorHAnsi"/>
        </w:rPr>
        <w:t>,</w:t>
      </w:r>
      <w:r w:rsidRPr="005F7B93">
        <w:rPr>
          <w:rFonts w:asciiTheme="minorHAnsi" w:hAnsiTheme="minorHAnsi" w:cstheme="minorHAnsi"/>
        </w:rPr>
        <w:t>5</w:t>
      </w:r>
      <w:r w:rsidR="00232D59" w:rsidRPr="005F7B93">
        <w:rPr>
          <w:rFonts w:asciiTheme="minorHAnsi" w:hAnsiTheme="minorHAnsi" w:cstheme="minorHAnsi"/>
        </w:rPr>
        <w:t xml:space="preserve"> </w:t>
      </w:r>
      <w:r w:rsidRPr="005F7B93">
        <w:rPr>
          <w:rFonts w:asciiTheme="minorHAnsi" w:hAnsiTheme="minorHAnsi" w:cstheme="minorHAnsi"/>
        </w:rPr>
        <w:t>m, dla natężenia poziomego 0</w:t>
      </w:r>
      <w:r w:rsidR="00232D59" w:rsidRPr="005F7B93">
        <w:rPr>
          <w:rFonts w:asciiTheme="minorHAnsi" w:hAnsiTheme="minorHAnsi" w:cstheme="minorHAnsi"/>
        </w:rPr>
        <w:t> </w:t>
      </w:r>
      <w:r w:rsidRPr="005F7B93">
        <w:rPr>
          <w:rFonts w:asciiTheme="minorHAnsi" w:hAnsiTheme="minorHAnsi" w:cstheme="minorHAnsi"/>
        </w:rPr>
        <w:t>m</w:t>
      </w:r>
    </w:p>
    <w:p w:rsidR="00194E49" w:rsidRPr="005F7B93" w:rsidRDefault="00194E49" w:rsidP="002C4A3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współczynnik utrzymania – wg kalkulacji Wykonawcy.</w:t>
      </w:r>
    </w:p>
    <w:p w:rsidR="00ED676C" w:rsidRPr="005F7B93" w:rsidRDefault="00ED676C" w:rsidP="00681F2C">
      <w:pPr>
        <w:ind w:firstLine="0"/>
      </w:pPr>
    </w:p>
    <w:p w:rsidR="00194E49" w:rsidRPr="005F7B93" w:rsidRDefault="00E035AD" w:rsidP="00194E49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>Tab. 1 Współrzędne kamer TV</w:t>
      </w:r>
    </w:p>
    <w:tbl>
      <w:tblPr>
        <w:tblW w:w="9342" w:type="dxa"/>
        <w:jc w:val="center"/>
        <w:tblLook w:val="04A0"/>
      </w:tblPr>
      <w:tblGrid>
        <w:gridCol w:w="888"/>
        <w:gridCol w:w="4467"/>
        <w:gridCol w:w="1386"/>
        <w:gridCol w:w="1357"/>
        <w:gridCol w:w="1244"/>
      </w:tblGrid>
      <w:tr w:rsidR="005F7B93" w:rsidRPr="005F7B93" w:rsidTr="00E035AD">
        <w:trPr>
          <w:trHeight w:val="61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współrzędne kamer - punkt 0,0 środek boiska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kamery wg Podręcznika Licencyjnego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 [m]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y[m]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h[m]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-86.6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-40.0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7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-36.0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-40.0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9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36.0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-40.0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-58.5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5F7B93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14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58.5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-5.0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  <w:tr w:rsidR="00194E49" w:rsidRPr="005F7B93" w:rsidTr="00E035AD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19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0B5CBB">
            <w:pPr>
              <w:ind w:firstLine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</w:tr>
    </w:tbl>
    <w:p w:rsidR="00194E49" w:rsidRPr="005F7B93" w:rsidRDefault="00194E49" w:rsidP="00194E49">
      <w:pPr>
        <w:rPr>
          <w:rFonts w:asciiTheme="minorHAnsi" w:hAnsiTheme="minorHAnsi" w:cstheme="minorHAnsi"/>
          <w:sz w:val="20"/>
          <w:szCs w:val="20"/>
        </w:rPr>
      </w:pPr>
    </w:p>
    <w:p w:rsidR="00194E49" w:rsidRPr="005F7B93" w:rsidRDefault="00194E49" w:rsidP="00194E49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>Tab.2.  Wymagania</w:t>
      </w:r>
      <w:r w:rsidR="00E035AD" w:rsidRPr="005F7B93">
        <w:rPr>
          <w:rFonts w:asciiTheme="minorHAnsi" w:hAnsiTheme="minorHAnsi" w:cstheme="minorHAnsi"/>
          <w:sz w:val="20"/>
          <w:szCs w:val="20"/>
        </w:rPr>
        <w:t xml:space="preserve"> dla wyników stanu istniejącego</w:t>
      </w:r>
    </w:p>
    <w:tbl>
      <w:tblPr>
        <w:tblW w:w="9247" w:type="dxa"/>
        <w:jc w:val="center"/>
        <w:tblLook w:val="04A0"/>
      </w:tblPr>
      <w:tblGrid>
        <w:gridCol w:w="748"/>
        <w:gridCol w:w="4252"/>
        <w:gridCol w:w="1560"/>
        <w:gridCol w:w="1276"/>
        <w:gridCol w:w="1411"/>
      </w:tblGrid>
      <w:tr w:rsidR="005F7B93" w:rsidRPr="005F7B93" w:rsidTr="000B5CBB">
        <w:trPr>
          <w:trHeight w:val="6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9" w:rsidRPr="005F7B93" w:rsidRDefault="00194E49" w:rsidP="00211048">
            <w:pPr>
              <w:ind w:firstLine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wyników symulacji stanu istniejącego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21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kamery wg Podręcznika Licencyjnego\ natężenie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Evśr</w:t>
            </w:r>
            <w:proofErr w:type="spellEnd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[lx]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Evśr\Evmin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hanging="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Evmin\Evmax</w:t>
            </w:r>
            <w:proofErr w:type="spellEnd"/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E49" w:rsidRPr="005F7B93" w:rsidRDefault="00194E49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1450-1550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8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7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9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13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5F7B93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14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  <w:tr w:rsidR="00211048" w:rsidRPr="005F7B93" w:rsidTr="000B5CBB">
        <w:trPr>
          <w:trHeight w:val="288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kamera nr 19 \ natężenie pionowe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1300-1400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0,5-0,7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49" w:rsidRPr="005F7B93" w:rsidRDefault="00194E49" w:rsidP="00211048">
            <w:pPr>
              <w:ind w:firstLine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0,4-0,5</w:t>
            </w:r>
          </w:p>
        </w:tc>
      </w:tr>
    </w:tbl>
    <w:p w:rsidR="00194E49" w:rsidRPr="005F7B93" w:rsidRDefault="00194E49" w:rsidP="00194E49">
      <w:pPr>
        <w:rPr>
          <w:rFonts w:asciiTheme="minorHAnsi" w:hAnsiTheme="minorHAnsi" w:cstheme="minorHAnsi"/>
          <w:sz w:val="20"/>
          <w:szCs w:val="20"/>
        </w:rPr>
      </w:pPr>
    </w:p>
    <w:p w:rsidR="00194E49" w:rsidRPr="005F7B93" w:rsidRDefault="00194E49" w:rsidP="00194E49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>Gdzie:</w:t>
      </w:r>
    </w:p>
    <w:p w:rsidR="00194E49" w:rsidRPr="005F7B93" w:rsidRDefault="00194E49" w:rsidP="00194E49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Evśr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średnia natężenia pionowego w kierunku kamer TV, [lx]</w:t>
      </w:r>
    </w:p>
    <w:p w:rsidR="00194E49" w:rsidRPr="005F7B93" w:rsidRDefault="00194E49" w:rsidP="00194E49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Evmin-wartość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minimalna natężenia pionowego [lx],</w:t>
      </w:r>
    </w:p>
    <w:p w:rsidR="00194E49" w:rsidRPr="005F7B93" w:rsidRDefault="00194E49" w:rsidP="00194E49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Evmax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maksymalna </w:t>
      </w:r>
      <w:r w:rsidR="00A65223" w:rsidRPr="005F7B93">
        <w:rPr>
          <w:rFonts w:asciiTheme="minorHAnsi" w:hAnsiTheme="minorHAnsi" w:cstheme="minorHAnsi"/>
          <w:i/>
          <w:sz w:val="20"/>
          <w:szCs w:val="20"/>
        </w:rPr>
        <w:t>natężenia</w:t>
      </w:r>
      <w:r w:rsidRPr="005F7B93">
        <w:rPr>
          <w:rFonts w:asciiTheme="minorHAnsi" w:hAnsiTheme="minorHAnsi" w:cstheme="minorHAnsi"/>
          <w:i/>
          <w:sz w:val="20"/>
          <w:szCs w:val="20"/>
        </w:rPr>
        <w:t xml:space="preserve"> pionowego [lx],</w:t>
      </w:r>
    </w:p>
    <w:p w:rsidR="000B5CBB" w:rsidRPr="005F7B93" w:rsidRDefault="00A35684" w:rsidP="000B5CBB">
      <w:pPr>
        <w:pStyle w:val="Nagwek3"/>
      </w:pPr>
      <w:bookmarkStart w:id="16" w:name="_Toc47560272"/>
      <w:r w:rsidRPr="005F7B93">
        <w:t>Symulacja</w:t>
      </w:r>
      <w:r w:rsidR="000B5CBB" w:rsidRPr="005F7B93">
        <w:t xml:space="preserve"> nr 2 – oświetlenie murawy dodatkowymi oprawami LED</w:t>
      </w:r>
      <w:bookmarkEnd w:id="16"/>
    </w:p>
    <w:p w:rsidR="000B5CBB" w:rsidRPr="005F7B93" w:rsidRDefault="000B5CBB" w:rsidP="000B5CBB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Obliczenia mają </w:t>
      </w:r>
      <w:r w:rsidR="00546B38" w:rsidRPr="005F7B93">
        <w:rPr>
          <w:rFonts w:asciiTheme="minorHAnsi" w:hAnsiTheme="minorHAnsi" w:cstheme="minorHAnsi"/>
          <w:szCs w:val="20"/>
        </w:rPr>
        <w:t>przedstawiać symulacje</w:t>
      </w:r>
      <w:r w:rsidRPr="005F7B93">
        <w:rPr>
          <w:rFonts w:asciiTheme="minorHAnsi" w:hAnsiTheme="minorHAnsi" w:cstheme="minorHAnsi"/>
          <w:szCs w:val="20"/>
        </w:rPr>
        <w:t xml:space="preserve"> oświetlenia murawy głównej tylko przy włączonych projektowanych oprawach LED w ilości </w:t>
      </w:r>
      <w:r w:rsidR="00A35684" w:rsidRPr="005F7B93">
        <w:rPr>
          <w:rFonts w:asciiTheme="minorHAnsi" w:hAnsiTheme="minorHAnsi" w:cstheme="minorHAnsi"/>
          <w:szCs w:val="20"/>
        </w:rPr>
        <w:t xml:space="preserve">maksymalnie </w:t>
      </w:r>
      <w:r w:rsidRPr="005F7B93">
        <w:rPr>
          <w:rFonts w:asciiTheme="minorHAnsi" w:hAnsiTheme="minorHAnsi" w:cstheme="minorHAnsi"/>
          <w:szCs w:val="20"/>
        </w:rPr>
        <w:t>4</w:t>
      </w:r>
      <w:r w:rsidR="00A35684" w:rsidRPr="005F7B93">
        <w:rPr>
          <w:rFonts w:asciiTheme="minorHAnsi" w:hAnsiTheme="minorHAnsi" w:cstheme="minorHAnsi"/>
          <w:szCs w:val="20"/>
        </w:rPr>
        <w:t>8</w:t>
      </w:r>
      <w:r w:rsidR="00370C0A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 xml:space="preserve">szt. Punkty celowania oprawami powinny pokrywać równomiernie całą płytę boiska. </w:t>
      </w:r>
    </w:p>
    <w:p w:rsidR="000B5CBB" w:rsidRPr="005F7B93" w:rsidRDefault="000B5CBB" w:rsidP="000B5CBB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Dane wejściowe do obliczeń:</w:t>
      </w:r>
    </w:p>
    <w:p w:rsidR="000B5CBB" w:rsidRPr="005F7B93" w:rsidRDefault="000B5CBB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wymi</w:t>
      </w:r>
      <w:r w:rsidR="00370C0A" w:rsidRPr="005F7B93">
        <w:rPr>
          <w:rFonts w:asciiTheme="minorHAnsi" w:hAnsiTheme="minorHAnsi" w:cstheme="minorHAnsi"/>
          <w:szCs w:val="20"/>
        </w:rPr>
        <w:t>ary boiska 105x68 m</w:t>
      </w:r>
    </w:p>
    <w:p w:rsidR="000B5CBB" w:rsidRPr="005F7B93" w:rsidRDefault="00370C0A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współczynnik odbicia murawy 25%</w:t>
      </w:r>
    </w:p>
    <w:p w:rsidR="000B5CBB" w:rsidRPr="005F7B93" w:rsidRDefault="00370C0A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wysokość zamontowania opraw 35 m</w:t>
      </w:r>
    </w:p>
    <w:p w:rsidR="000B5CBB" w:rsidRPr="005F7B93" w:rsidRDefault="000B5CBB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lastRenderedPageBreak/>
        <w:t>miejsca montażu opraw powinny spełniać wymagania dokumentu UEFA</w:t>
      </w:r>
      <w:r w:rsidRPr="005F7B93">
        <w:rPr>
          <w:rFonts w:asciiTheme="minorHAnsi" w:hAnsiTheme="minorHAnsi" w:cstheme="minorHAnsi"/>
          <w:szCs w:val="20"/>
          <w:lang w:val="sv-SE"/>
        </w:rPr>
        <w:t xml:space="preserve"> Stadium Lighting Guide 2016</w:t>
      </w:r>
      <w:r w:rsidRPr="005F7B93">
        <w:rPr>
          <w:rFonts w:asciiTheme="minorHAnsi" w:hAnsiTheme="minorHAnsi" w:cstheme="minorHAnsi"/>
          <w:szCs w:val="20"/>
        </w:rPr>
        <w:t xml:space="preserve"> </w:t>
      </w:r>
    </w:p>
    <w:p w:rsidR="000B5CBB" w:rsidRPr="005F7B93" w:rsidRDefault="000B5CBB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siatka obliczeniowa o skoku </w:t>
      </w:r>
      <w:r w:rsidR="00546B38" w:rsidRPr="005F7B93">
        <w:rPr>
          <w:rFonts w:asciiTheme="minorHAnsi" w:hAnsiTheme="minorHAnsi" w:cstheme="minorHAnsi"/>
          <w:szCs w:val="20"/>
        </w:rPr>
        <w:t>5x5 m</w:t>
      </w:r>
      <w:r w:rsidRPr="005F7B93">
        <w:rPr>
          <w:rFonts w:asciiTheme="minorHAnsi" w:hAnsiTheme="minorHAnsi" w:cstheme="minorHAnsi"/>
          <w:szCs w:val="20"/>
        </w:rPr>
        <w:t xml:space="preserve"> (skrajne punkty na liniach bocznych boiska)</w:t>
      </w:r>
    </w:p>
    <w:p w:rsidR="000B5CBB" w:rsidRPr="005F7B93" w:rsidRDefault="000B5CBB" w:rsidP="002C4A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współczynnik utrzymania – </w:t>
      </w:r>
      <w:r w:rsidR="00232D59" w:rsidRPr="005F7B93">
        <w:rPr>
          <w:rFonts w:asciiTheme="minorHAnsi" w:hAnsiTheme="minorHAnsi" w:cstheme="minorHAnsi"/>
          <w:szCs w:val="20"/>
        </w:rPr>
        <w:t>0,</w:t>
      </w:r>
      <w:r w:rsidRPr="005F7B93">
        <w:rPr>
          <w:rFonts w:asciiTheme="minorHAnsi" w:hAnsiTheme="minorHAnsi" w:cstheme="minorHAnsi"/>
          <w:szCs w:val="20"/>
        </w:rPr>
        <w:t>9</w:t>
      </w:r>
      <w:r w:rsidR="00370C0A" w:rsidRPr="005F7B93">
        <w:rPr>
          <w:rFonts w:asciiTheme="minorHAnsi" w:hAnsiTheme="minorHAnsi" w:cstheme="minorHAnsi"/>
          <w:szCs w:val="20"/>
        </w:rPr>
        <w:t>.</w:t>
      </w:r>
    </w:p>
    <w:p w:rsidR="000B5CBB" w:rsidRPr="005F7B93" w:rsidRDefault="000B5CBB" w:rsidP="000B5CBB">
      <w:pPr>
        <w:rPr>
          <w:rFonts w:asciiTheme="minorHAnsi" w:hAnsiTheme="minorHAnsi" w:cstheme="minorHAnsi"/>
          <w:sz w:val="20"/>
          <w:szCs w:val="20"/>
        </w:rPr>
      </w:pPr>
    </w:p>
    <w:p w:rsidR="000B5CBB" w:rsidRPr="005F7B93" w:rsidRDefault="000B5CBB" w:rsidP="000B5CBB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 xml:space="preserve"> </w:t>
      </w:r>
      <w:r w:rsidR="00370C0A" w:rsidRPr="005F7B93">
        <w:rPr>
          <w:rFonts w:asciiTheme="minorHAnsi" w:hAnsiTheme="minorHAnsi" w:cstheme="minorHAnsi"/>
          <w:sz w:val="20"/>
          <w:szCs w:val="20"/>
        </w:rPr>
        <w:t>Tab. 3 Wymagane wyniki obliczeń</w:t>
      </w:r>
    </w:p>
    <w:tbl>
      <w:tblPr>
        <w:tblW w:w="9395" w:type="dxa"/>
        <w:tblInd w:w="98" w:type="dxa"/>
        <w:tblLook w:val="04A0"/>
      </w:tblPr>
      <w:tblGrid>
        <w:gridCol w:w="716"/>
        <w:gridCol w:w="3804"/>
        <w:gridCol w:w="1086"/>
        <w:gridCol w:w="1223"/>
        <w:gridCol w:w="1358"/>
        <w:gridCol w:w="1208"/>
      </w:tblGrid>
      <w:tr w:rsidR="005F7B93" w:rsidRPr="005F7B93" w:rsidTr="00370C0A">
        <w:trPr>
          <w:trHeight w:val="2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6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17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natężenie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20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Ehśr</w:t>
            </w:r>
            <w:proofErr w:type="spellEnd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[lx]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5B54A9">
            <w:pPr>
              <w:ind w:firstLine="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Ehśr\Emin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Emin\Emax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</w:p>
        </w:tc>
      </w:tr>
      <w:tr w:rsidR="005F7B93" w:rsidRPr="005F7B93" w:rsidTr="00370C0A">
        <w:trPr>
          <w:trHeight w:val="26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370C0A">
            <w:pPr>
              <w:ind w:hanging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CBB" w:rsidRPr="005F7B93" w:rsidRDefault="000B5CBB" w:rsidP="005B5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0C0A" w:rsidRPr="005F7B93" w:rsidTr="00370C0A">
        <w:trPr>
          <w:trHeight w:val="26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firstLine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natężenie poziome - wysokość 0m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2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B" w:rsidRPr="005F7B93" w:rsidRDefault="000B5CBB" w:rsidP="00370C0A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&lt;50</w:t>
            </w:r>
          </w:p>
        </w:tc>
      </w:tr>
    </w:tbl>
    <w:p w:rsidR="000B5CBB" w:rsidRPr="005F7B93" w:rsidRDefault="000B5CBB" w:rsidP="000B5CBB">
      <w:pPr>
        <w:rPr>
          <w:rFonts w:asciiTheme="minorHAnsi" w:hAnsiTheme="minorHAnsi" w:cstheme="minorHAnsi"/>
          <w:sz w:val="20"/>
          <w:szCs w:val="20"/>
        </w:rPr>
      </w:pPr>
    </w:p>
    <w:p w:rsidR="000B5CBB" w:rsidRPr="005F7B93" w:rsidRDefault="000B5CBB" w:rsidP="000B5CBB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>gdzie:</w:t>
      </w:r>
    </w:p>
    <w:p w:rsidR="000B5CBB" w:rsidRPr="005F7B93" w:rsidRDefault="000B5CBB" w:rsidP="000B5CBB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Ehśr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średnia natężenia pionowego w kierunku kamer TV, [lx]</w:t>
      </w:r>
    </w:p>
    <w:p w:rsidR="000B5CBB" w:rsidRPr="005F7B93" w:rsidRDefault="000B5CBB" w:rsidP="000B5CBB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Ehmin-wartość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minimalna natężenia pionowego [lx],</w:t>
      </w:r>
    </w:p>
    <w:p w:rsidR="000B5CBB" w:rsidRPr="005F7B93" w:rsidRDefault="000B5CBB" w:rsidP="000B5CBB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Ehmax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maksymalna </w:t>
      </w:r>
      <w:r w:rsidR="00A65223" w:rsidRPr="005F7B93">
        <w:rPr>
          <w:rFonts w:asciiTheme="minorHAnsi" w:hAnsiTheme="minorHAnsi" w:cstheme="minorHAnsi"/>
          <w:i/>
          <w:sz w:val="20"/>
          <w:szCs w:val="20"/>
        </w:rPr>
        <w:t>natężenia</w:t>
      </w:r>
      <w:r w:rsidRPr="005F7B93">
        <w:rPr>
          <w:rFonts w:asciiTheme="minorHAnsi" w:hAnsiTheme="minorHAnsi" w:cstheme="minorHAnsi"/>
          <w:i/>
          <w:sz w:val="20"/>
          <w:szCs w:val="20"/>
        </w:rPr>
        <w:t xml:space="preserve"> pionowego [lx],</w:t>
      </w:r>
    </w:p>
    <w:p w:rsidR="00194E49" w:rsidRPr="005F7B93" w:rsidRDefault="000B5CBB" w:rsidP="000B5CBB">
      <w:pPr>
        <w:ind w:left="567" w:firstLine="0"/>
        <w:rPr>
          <w:rFonts w:asciiTheme="minorHAnsi" w:hAnsiTheme="minorHAnsi" w:cstheme="minorHAnsi"/>
          <w:sz w:val="20"/>
          <w:szCs w:val="20"/>
          <w:lang w:val="sv-SE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 xml:space="preserve">GR – współczynnik olśnienia, </w:t>
      </w:r>
      <w:r w:rsidRPr="005F7B93">
        <w:rPr>
          <w:rFonts w:asciiTheme="minorHAnsi" w:hAnsiTheme="minorHAnsi" w:cstheme="minorHAnsi"/>
          <w:sz w:val="20"/>
          <w:szCs w:val="20"/>
        </w:rPr>
        <w:t>pozycje obserwatorów wg UEFA</w:t>
      </w:r>
      <w:r w:rsidRPr="005F7B93">
        <w:rPr>
          <w:rFonts w:asciiTheme="minorHAnsi" w:hAnsiTheme="minorHAnsi" w:cstheme="minorHAnsi"/>
          <w:sz w:val="20"/>
          <w:szCs w:val="20"/>
          <w:lang w:val="sv-SE"/>
        </w:rPr>
        <w:t xml:space="preserve"> Stadium Lighting Guide 2016</w:t>
      </w:r>
    </w:p>
    <w:p w:rsidR="00E35827" w:rsidRPr="005F7B93" w:rsidRDefault="00A35684" w:rsidP="00E35827">
      <w:pPr>
        <w:pStyle w:val="Nagwek3"/>
      </w:pPr>
      <w:bookmarkStart w:id="17" w:name="_Toc47560273"/>
      <w:r w:rsidRPr="005F7B93">
        <w:t>Symulacja</w:t>
      </w:r>
      <w:r w:rsidR="00E35827" w:rsidRPr="005F7B93">
        <w:t xml:space="preserve"> nr 3 – oświetlenie murawy – oprawy z dodatkowymi oprawami LED</w:t>
      </w:r>
      <w:bookmarkEnd w:id="17"/>
    </w:p>
    <w:p w:rsidR="006715BC" w:rsidRPr="005F7B93" w:rsidRDefault="006715BC" w:rsidP="006715BC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Obliczenia mają </w:t>
      </w:r>
      <w:r w:rsidR="00546B38" w:rsidRPr="005F7B93">
        <w:rPr>
          <w:rFonts w:asciiTheme="minorHAnsi" w:hAnsiTheme="minorHAnsi" w:cstheme="minorHAnsi"/>
          <w:szCs w:val="20"/>
        </w:rPr>
        <w:t>przedstawiać symulacje</w:t>
      </w:r>
      <w:r w:rsidRPr="005F7B93">
        <w:rPr>
          <w:rFonts w:asciiTheme="minorHAnsi" w:hAnsiTheme="minorHAnsi" w:cstheme="minorHAnsi"/>
          <w:szCs w:val="20"/>
        </w:rPr>
        <w:t xml:space="preserve"> oświetlenia murawy głównej przy włączonych </w:t>
      </w:r>
      <w:r w:rsidR="00546B38" w:rsidRPr="005F7B93">
        <w:rPr>
          <w:rFonts w:asciiTheme="minorHAnsi" w:hAnsiTheme="minorHAnsi" w:cstheme="minorHAnsi"/>
          <w:szCs w:val="20"/>
        </w:rPr>
        <w:t>projektowanych oprawach</w:t>
      </w:r>
      <w:r w:rsidRPr="005F7B93">
        <w:rPr>
          <w:rFonts w:asciiTheme="minorHAnsi" w:hAnsiTheme="minorHAnsi" w:cstheme="minorHAnsi"/>
          <w:szCs w:val="20"/>
        </w:rPr>
        <w:t xml:space="preserve"> LED w ilości</w:t>
      </w:r>
      <w:r w:rsidR="00A35684" w:rsidRPr="005F7B93">
        <w:rPr>
          <w:rFonts w:asciiTheme="minorHAnsi" w:hAnsiTheme="minorHAnsi" w:cstheme="minorHAnsi"/>
          <w:szCs w:val="20"/>
        </w:rPr>
        <w:t xml:space="preserve"> maksymalnie</w:t>
      </w:r>
      <w:r w:rsidRPr="005F7B93">
        <w:rPr>
          <w:rFonts w:asciiTheme="minorHAnsi" w:hAnsiTheme="minorHAnsi" w:cstheme="minorHAnsi"/>
          <w:szCs w:val="20"/>
        </w:rPr>
        <w:t xml:space="preserve"> 4</w:t>
      </w:r>
      <w:r w:rsidR="00A35684" w:rsidRPr="005F7B93">
        <w:rPr>
          <w:rFonts w:asciiTheme="minorHAnsi" w:hAnsiTheme="minorHAnsi" w:cstheme="minorHAnsi"/>
          <w:szCs w:val="20"/>
        </w:rPr>
        <w:t>8</w:t>
      </w:r>
      <w:r w:rsidR="00232D59" w:rsidRPr="005F7B93">
        <w:rPr>
          <w:rFonts w:asciiTheme="minorHAnsi" w:hAnsiTheme="minorHAnsi" w:cstheme="minorHAnsi"/>
          <w:szCs w:val="20"/>
        </w:rPr>
        <w:t xml:space="preserve"> szt.</w:t>
      </w:r>
      <w:r w:rsidRPr="005F7B93">
        <w:rPr>
          <w:rFonts w:asciiTheme="minorHAnsi" w:hAnsiTheme="minorHAnsi" w:cstheme="minorHAnsi"/>
          <w:szCs w:val="20"/>
        </w:rPr>
        <w:t xml:space="preserve"> oraz istniejących oprawach MVF404 w ilości 240 szt. Obliczenia powinny być wypadkową z symulacji z pkt 2.5.1 oraz 2.5.2</w:t>
      </w:r>
      <w:r w:rsidR="00232D59" w:rsidRPr="005F7B93">
        <w:rPr>
          <w:rFonts w:asciiTheme="minorHAnsi" w:hAnsiTheme="minorHAnsi" w:cstheme="minorHAnsi"/>
          <w:szCs w:val="20"/>
        </w:rPr>
        <w:t>.</w:t>
      </w:r>
    </w:p>
    <w:p w:rsidR="006715BC" w:rsidRPr="005F7B93" w:rsidRDefault="006715BC" w:rsidP="006715BC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Dane wejściowe do obliczeń: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wymiary boiska 105x68 m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współczynnik odbicia murawy 25%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wysokość zamontowania opraw 35 m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  <w:lang w:val="sv-SE"/>
        </w:rPr>
      </w:pPr>
      <w:r w:rsidRPr="005F7B93">
        <w:rPr>
          <w:rFonts w:asciiTheme="minorHAnsi" w:hAnsiTheme="minorHAnsi" w:cstheme="minorHAnsi"/>
          <w:szCs w:val="20"/>
        </w:rPr>
        <w:t>miejsca montażu opraw powinny spełniać wymagania dokumentu UEFA</w:t>
      </w:r>
      <w:r w:rsidRPr="005F7B93">
        <w:rPr>
          <w:rFonts w:asciiTheme="minorHAnsi" w:hAnsiTheme="minorHAnsi" w:cstheme="minorHAnsi"/>
          <w:szCs w:val="20"/>
          <w:lang w:val="sv-SE"/>
        </w:rPr>
        <w:t xml:space="preserve"> Stadium Lighting Guide 2016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siatka obliczeniowa o skoku 5x5 </w:t>
      </w:r>
      <w:r w:rsidR="00546B38" w:rsidRPr="005F7B93">
        <w:rPr>
          <w:rFonts w:asciiTheme="minorHAnsi" w:hAnsiTheme="minorHAnsi" w:cstheme="minorHAnsi"/>
          <w:szCs w:val="20"/>
        </w:rPr>
        <w:t>m</w:t>
      </w:r>
      <w:r w:rsidRPr="005F7B93">
        <w:rPr>
          <w:rFonts w:asciiTheme="minorHAnsi" w:hAnsiTheme="minorHAnsi" w:cstheme="minorHAnsi"/>
          <w:szCs w:val="20"/>
        </w:rPr>
        <w:t xml:space="preserve"> (skrajne punkty na liniach bocznych boiska)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wysokość siatki obliczeniowe dla natężenia pionowego 1</w:t>
      </w:r>
      <w:r w:rsidR="00232D59" w:rsidRPr="005F7B93">
        <w:rPr>
          <w:rFonts w:asciiTheme="minorHAnsi" w:hAnsiTheme="minorHAnsi" w:cstheme="minorHAnsi"/>
          <w:szCs w:val="20"/>
        </w:rPr>
        <w:t>,</w:t>
      </w:r>
      <w:r w:rsidRPr="005F7B93">
        <w:rPr>
          <w:rFonts w:asciiTheme="minorHAnsi" w:hAnsiTheme="minorHAnsi" w:cstheme="minorHAnsi"/>
          <w:szCs w:val="20"/>
        </w:rPr>
        <w:t>5</w:t>
      </w:r>
      <w:r w:rsidR="00232D59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>m, dla natężenia poziomego 0</w:t>
      </w:r>
      <w:r w:rsidR="00232D59" w:rsidRPr="005F7B93">
        <w:rPr>
          <w:rFonts w:asciiTheme="minorHAnsi" w:hAnsiTheme="minorHAnsi" w:cstheme="minorHAnsi"/>
          <w:szCs w:val="20"/>
        </w:rPr>
        <w:t> </w:t>
      </w:r>
      <w:r w:rsidRPr="005F7B93">
        <w:rPr>
          <w:rFonts w:asciiTheme="minorHAnsi" w:hAnsiTheme="minorHAnsi" w:cstheme="minorHAnsi"/>
          <w:szCs w:val="20"/>
        </w:rPr>
        <w:t>m</w:t>
      </w:r>
    </w:p>
    <w:p w:rsidR="006715BC" w:rsidRPr="005F7B93" w:rsidRDefault="006715BC" w:rsidP="002C4A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współczynnik utrzymania:</w:t>
      </w:r>
    </w:p>
    <w:p w:rsidR="006715BC" w:rsidRPr="005F7B93" w:rsidRDefault="006715BC" w:rsidP="002C4A34">
      <w:pPr>
        <w:pStyle w:val="Akapitzlist"/>
        <w:numPr>
          <w:ilvl w:val="0"/>
          <w:numId w:val="13"/>
        </w:numPr>
        <w:ind w:left="1701"/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dla p</w:t>
      </w:r>
      <w:r w:rsidR="00232D59" w:rsidRPr="005F7B93">
        <w:rPr>
          <w:rFonts w:asciiTheme="minorHAnsi" w:hAnsiTheme="minorHAnsi" w:cstheme="minorHAnsi"/>
          <w:szCs w:val="20"/>
        </w:rPr>
        <w:t xml:space="preserve">rojektowanych opraw </w:t>
      </w:r>
      <w:r w:rsidR="00546B38" w:rsidRPr="005F7B93">
        <w:rPr>
          <w:rFonts w:asciiTheme="minorHAnsi" w:hAnsiTheme="minorHAnsi" w:cstheme="minorHAnsi"/>
          <w:szCs w:val="20"/>
        </w:rPr>
        <w:t>LED -</w:t>
      </w:r>
      <w:r w:rsidR="00232D59" w:rsidRPr="005F7B93">
        <w:rPr>
          <w:rFonts w:asciiTheme="minorHAnsi" w:hAnsiTheme="minorHAnsi" w:cstheme="minorHAnsi"/>
          <w:szCs w:val="20"/>
        </w:rPr>
        <w:t xml:space="preserve"> 0,</w:t>
      </w:r>
      <w:r w:rsidRPr="005F7B93">
        <w:rPr>
          <w:rFonts w:asciiTheme="minorHAnsi" w:hAnsiTheme="minorHAnsi" w:cstheme="minorHAnsi"/>
          <w:szCs w:val="20"/>
        </w:rPr>
        <w:t>9</w:t>
      </w:r>
    </w:p>
    <w:p w:rsidR="006715BC" w:rsidRPr="005F7B93" w:rsidRDefault="006715BC" w:rsidP="002C4A34">
      <w:pPr>
        <w:pStyle w:val="Akapitzlist"/>
        <w:numPr>
          <w:ilvl w:val="0"/>
          <w:numId w:val="13"/>
        </w:numPr>
        <w:ind w:left="1701"/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dla istniejących opraw MVF404 - wg kalkulacji Wykonawcy z obliczeń z pkt 2.5.1</w:t>
      </w:r>
    </w:p>
    <w:p w:rsidR="006715BC" w:rsidRPr="005F7B93" w:rsidRDefault="006715BC" w:rsidP="006715BC">
      <w:pPr>
        <w:rPr>
          <w:rFonts w:asciiTheme="minorHAnsi" w:hAnsiTheme="minorHAnsi" w:cstheme="minorHAnsi"/>
          <w:sz w:val="20"/>
          <w:szCs w:val="20"/>
        </w:rPr>
      </w:pPr>
    </w:p>
    <w:p w:rsidR="006715BC" w:rsidRPr="005F7B93" w:rsidRDefault="006715BC" w:rsidP="006715BC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>Tab. 4. Wymagane wyniki obliczeń</w:t>
      </w:r>
    </w:p>
    <w:tbl>
      <w:tblPr>
        <w:tblW w:w="9354" w:type="dxa"/>
        <w:jc w:val="center"/>
        <w:tblLook w:val="04A0"/>
      </w:tblPr>
      <w:tblGrid>
        <w:gridCol w:w="627"/>
        <w:gridCol w:w="4022"/>
        <w:gridCol w:w="1115"/>
        <w:gridCol w:w="1174"/>
        <w:gridCol w:w="1320"/>
        <w:gridCol w:w="1096"/>
      </w:tblGrid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kamery\natężenie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Eśr</w:t>
            </w:r>
            <w:proofErr w:type="spellEnd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[lx]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Eśr\Emin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Emin\Emax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6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</w:t>
            </w: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5BC" w:rsidRPr="005F7B93" w:rsidRDefault="006715BC" w:rsidP="006715BC">
            <w:pPr>
              <w:ind w:hanging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1 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natężenie poziome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BC" w:rsidRPr="005F7B93" w:rsidRDefault="006715BC" w:rsidP="006715BC">
            <w:pPr>
              <w:ind w:hanging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&lt;50</w:t>
            </w: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&gt;0.5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8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7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9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13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B93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14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5BC" w:rsidRPr="005F7B93" w:rsidTr="006715BC">
        <w:trPr>
          <w:trHeight w:val="27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kamera nr 19 \ </w:t>
            </w:r>
            <w:r w:rsidR="00A65223" w:rsidRPr="005F7B93">
              <w:rPr>
                <w:rFonts w:asciiTheme="minorHAnsi" w:hAnsiTheme="minorHAnsi" w:cstheme="minorHAnsi"/>
                <w:sz w:val="20"/>
                <w:szCs w:val="20"/>
              </w:rPr>
              <w:t>natężenie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pionowe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BC" w:rsidRPr="005F7B93" w:rsidRDefault="006715BC" w:rsidP="006715BC">
            <w:pPr>
              <w:ind w:hanging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&gt;0.4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5BC" w:rsidRPr="005F7B93" w:rsidRDefault="006715BC" w:rsidP="005B5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15BC" w:rsidRPr="005F7B93" w:rsidRDefault="006715BC" w:rsidP="006715BC">
      <w:pPr>
        <w:rPr>
          <w:rFonts w:asciiTheme="minorHAnsi" w:hAnsiTheme="minorHAnsi" w:cstheme="minorHAnsi"/>
          <w:sz w:val="20"/>
          <w:szCs w:val="20"/>
        </w:rPr>
      </w:pPr>
    </w:p>
    <w:p w:rsidR="006715BC" w:rsidRPr="005F7B93" w:rsidRDefault="006715BC" w:rsidP="006715BC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>gdzie:</w:t>
      </w:r>
    </w:p>
    <w:p w:rsidR="006715BC" w:rsidRPr="005F7B93" w:rsidRDefault="006715BC" w:rsidP="006715BC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F7B93">
        <w:rPr>
          <w:rFonts w:asciiTheme="minorHAnsi" w:hAnsiTheme="minorHAnsi" w:cstheme="minorHAnsi"/>
          <w:i/>
          <w:sz w:val="20"/>
          <w:szCs w:val="20"/>
        </w:rPr>
        <w:t>Eśr</w:t>
      </w:r>
      <w:proofErr w:type="spellEnd"/>
      <w:r w:rsidRPr="005F7B93">
        <w:rPr>
          <w:rFonts w:asciiTheme="minorHAnsi" w:hAnsiTheme="minorHAnsi" w:cstheme="minorHAnsi"/>
          <w:i/>
          <w:sz w:val="20"/>
          <w:szCs w:val="20"/>
        </w:rPr>
        <w:t xml:space="preserve"> – wartość średnia natężenia pionowego w kierunku kamer TV lub </w:t>
      </w:r>
      <w:r w:rsidR="00A65223" w:rsidRPr="005F7B93">
        <w:rPr>
          <w:rFonts w:asciiTheme="minorHAnsi" w:hAnsiTheme="minorHAnsi" w:cstheme="minorHAnsi"/>
          <w:i/>
          <w:sz w:val="20"/>
          <w:szCs w:val="20"/>
        </w:rPr>
        <w:t>natężenia</w:t>
      </w:r>
      <w:r w:rsidRPr="005F7B93">
        <w:rPr>
          <w:rFonts w:asciiTheme="minorHAnsi" w:hAnsiTheme="minorHAnsi" w:cstheme="minorHAnsi"/>
          <w:i/>
          <w:sz w:val="20"/>
          <w:szCs w:val="20"/>
        </w:rPr>
        <w:t xml:space="preserve"> poziomego, [lx]</w:t>
      </w:r>
    </w:p>
    <w:p w:rsidR="006715BC" w:rsidRPr="005F7B93" w:rsidRDefault="006715BC" w:rsidP="006715BC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>Emin-wartość minimalna natężenia pionowego lub poziomego [lx],</w:t>
      </w:r>
    </w:p>
    <w:p w:rsidR="006715BC" w:rsidRPr="005F7B93" w:rsidRDefault="006715BC" w:rsidP="006715BC">
      <w:pPr>
        <w:rPr>
          <w:rFonts w:asciiTheme="minorHAnsi" w:hAnsiTheme="minorHAnsi" w:cstheme="minorHAnsi"/>
          <w:i/>
          <w:sz w:val="20"/>
          <w:szCs w:val="20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 xml:space="preserve">Emax – wartość maksymalna </w:t>
      </w:r>
      <w:r w:rsidR="00A65223" w:rsidRPr="005F7B93">
        <w:rPr>
          <w:rFonts w:asciiTheme="minorHAnsi" w:hAnsiTheme="minorHAnsi" w:cstheme="minorHAnsi"/>
          <w:i/>
          <w:sz w:val="20"/>
          <w:szCs w:val="20"/>
        </w:rPr>
        <w:t>natężenia</w:t>
      </w:r>
      <w:r w:rsidRPr="005F7B93">
        <w:rPr>
          <w:rFonts w:asciiTheme="minorHAnsi" w:hAnsiTheme="minorHAnsi" w:cstheme="minorHAnsi"/>
          <w:i/>
          <w:sz w:val="20"/>
          <w:szCs w:val="20"/>
        </w:rPr>
        <w:t xml:space="preserve"> pionowego lub poziomego [lx],</w:t>
      </w:r>
    </w:p>
    <w:p w:rsidR="006715BC" w:rsidRPr="005F7B93" w:rsidRDefault="006715BC" w:rsidP="006715BC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5F7B93">
        <w:rPr>
          <w:rFonts w:asciiTheme="minorHAnsi" w:hAnsiTheme="minorHAnsi" w:cstheme="minorHAnsi"/>
          <w:i/>
          <w:sz w:val="20"/>
          <w:szCs w:val="20"/>
        </w:rPr>
        <w:t xml:space="preserve">GR – współczynnik olśnienia, </w:t>
      </w:r>
      <w:r w:rsidRPr="005F7B93">
        <w:rPr>
          <w:rFonts w:asciiTheme="minorHAnsi" w:hAnsiTheme="minorHAnsi" w:cstheme="minorHAnsi"/>
          <w:sz w:val="20"/>
          <w:szCs w:val="20"/>
        </w:rPr>
        <w:t>pozycje obserwatorów wg UEFA</w:t>
      </w:r>
      <w:r w:rsidRPr="005F7B93">
        <w:rPr>
          <w:rFonts w:asciiTheme="minorHAnsi" w:hAnsiTheme="minorHAnsi" w:cstheme="minorHAnsi"/>
          <w:sz w:val="20"/>
          <w:szCs w:val="20"/>
          <w:lang w:val="sv-SE"/>
        </w:rPr>
        <w:t xml:space="preserve"> Stadium Lighting Guide 2016</w:t>
      </w:r>
    </w:p>
    <w:p w:rsidR="00232D59" w:rsidRPr="005F7B93" w:rsidRDefault="00232D59" w:rsidP="006715BC">
      <w:pPr>
        <w:rPr>
          <w:rFonts w:asciiTheme="minorHAnsi" w:hAnsiTheme="minorHAnsi" w:cstheme="minorHAnsi"/>
          <w:sz w:val="20"/>
          <w:szCs w:val="20"/>
          <w:lang w:val="sv-SE"/>
        </w:rPr>
      </w:pPr>
    </w:p>
    <w:p w:rsidR="006715BC" w:rsidRPr="005F7B93" w:rsidRDefault="00232D59" w:rsidP="006715BC">
      <w:pPr>
        <w:rPr>
          <w:rFonts w:asciiTheme="minorHAnsi" w:hAnsiTheme="minorHAnsi" w:cstheme="minorHAnsi"/>
          <w:szCs w:val="20"/>
          <w:lang w:val="sv-SE"/>
        </w:rPr>
      </w:pPr>
      <w:r w:rsidRPr="005F7B93">
        <w:rPr>
          <w:rFonts w:asciiTheme="minorHAnsi" w:hAnsiTheme="minorHAnsi" w:cstheme="minorHAnsi"/>
          <w:szCs w:val="20"/>
          <w:lang w:val="sv-SE"/>
        </w:rPr>
        <w:t>Uwaga:</w:t>
      </w:r>
    </w:p>
    <w:p w:rsidR="00E35827" w:rsidRPr="005F7B93" w:rsidRDefault="006715BC" w:rsidP="006715BC">
      <w:pPr>
        <w:ind w:left="567" w:firstLine="0"/>
        <w:rPr>
          <w:rFonts w:asciiTheme="minorHAnsi" w:hAnsiTheme="minorHAnsi" w:cstheme="minorHAnsi"/>
          <w:szCs w:val="20"/>
          <w:lang w:val="sv-SE"/>
        </w:rPr>
      </w:pPr>
      <w:r w:rsidRPr="005F7B93">
        <w:rPr>
          <w:rFonts w:asciiTheme="minorHAnsi" w:hAnsiTheme="minorHAnsi" w:cstheme="minorHAnsi"/>
          <w:szCs w:val="20"/>
          <w:lang w:val="sv-SE"/>
        </w:rPr>
        <w:t>Gradient zmian natężenia nie powinien być większy niż 20%.</w:t>
      </w:r>
    </w:p>
    <w:p w:rsidR="00232D59" w:rsidRPr="005F7B93" w:rsidRDefault="00A35684" w:rsidP="00A675E3">
      <w:pPr>
        <w:pStyle w:val="Nagwek2"/>
      </w:pPr>
      <w:bookmarkStart w:id="18" w:name="_Toc47560274"/>
      <w:r w:rsidRPr="005F7B93">
        <w:lastRenderedPageBreak/>
        <w:t>Minimalne parametry</w:t>
      </w:r>
      <w:r w:rsidR="00232D59" w:rsidRPr="005F7B93">
        <w:t xml:space="preserve"> </w:t>
      </w:r>
      <w:r w:rsidRPr="005F7B93">
        <w:t>techniczne</w:t>
      </w:r>
      <w:r w:rsidR="00232D59" w:rsidRPr="005F7B93">
        <w:t xml:space="preserve"> opraw LED</w:t>
      </w:r>
      <w:bookmarkEnd w:id="18"/>
    </w:p>
    <w:p w:rsidR="00232D59" w:rsidRPr="005F7B93" w:rsidRDefault="00232D59" w:rsidP="00232D59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ab/>
        <w:t>Oprawa projektorowa LED do oświetlania obiektów sportowych z co najmniej trzema modułami LED: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m</w:t>
      </w:r>
      <w:r w:rsidR="00275196" w:rsidRPr="005F7B93">
        <w:rPr>
          <w:rFonts w:asciiTheme="minorHAnsi" w:hAnsiTheme="minorHAnsi" w:cstheme="minorHAnsi"/>
          <w:lang w:val="sv-SE"/>
        </w:rPr>
        <w:t>in. stopień IP 66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min. stopień IK08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min. trwałość 50000h L80 dla temp. </w:t>
      </w:r>
      <w:r w:rsidR="00275196" w:rsidRPr="005F7B93">
        <w:rPr>
          <w:rFonts w:asciiTheme="minorHAnsi" w:hAnsiTheme="minorHAnsi" w:cstheme="minorHAnsi"/>
        </w:rPr>
        <w:t>Ta=25˚ C</w:t>
      </w:r>
    </w:p>
    <w:p w:rsidR="00232D59" w:rsidRPr="005F7B93" w:rsidRDefault="00275196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I lub II klasa ochronności</w:t>
      </w:r>
    </w:p>
    <w:p w:rsidR="00232D59" w:rsidRPr="005F7B93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max. waga opraw 32</w:t>
      </w:r>
      <w:r w:rsidR="00275196" w:rsidRPr="005F7B93">
        <w:rPr>
          <w:rFonts w:asciiTheme="minorHAnsi" w:hAnsiTheme="minorHAnsi" w:cstheme="minorHAnsi"/>
        </w:rPr>
        <w:t xml:space="preserve"> kg</w:t>
      </w:r>
    </w:p>
    <w:p w:rsidR="00232D59" w:rsidRPr="00236380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236380">
        <w:rPr>
          <w:rFonts w:asciiTheme="minorHAnsi" w:hAnsiTheme="minorHAnsi" w:cstheme="minorHAnsi"/>
        </w:rPr>
        <w:t xml:space="preserve">współczynnik </w:t>
      </w:r>
      <w:proofErr w:type="spellStart"/>
      <w:r w:rsidRPr="00236380">
        <w:rPr>
          <w:rFonts w:asciiTheme="minorHAnsi" w:hAnsiTheme="minorHAnsi" w:cstheme="minorHAnsi"/>
        </w:rPr>
        <w:t>Scx</w:t>
      </w:r>
      <w:proofErr w:type="spellEnd"/>
      <w:r w:rsidRPr="00236380">
        <w:rPr>
          <w:rFonts w:asciiTheme="minorHAnsi" w:hAnsiTheme="minorHAnsi" w:cstheme="minorHAnsi"/>
        </w:rPr>
        <w:t xml:space="preserve"> nie większy niż </w:t>
      </w:r>
      <w:r w:rsidRPr="00236380">
        <w:rPr>
          <w:rFonts w:asciiTheme="minorHAnsi" w:eastAsia="Arial" w:hAnsiTheme="minorHAnsi" w:cstheme="minorHAnsi"/>
        </w:rPr>
        <w:t>0,4</w:t>
      </w:r>
      <w:r w:rsidR="00DC2466">
        <w:rPr>
          <w:rFonts w:asciiTheme="minorHAnsi" w:eastAsia="Arial" w:hAnsiTheme="minorHAnsi" w:cstheme="minorHAnsi"/>
        </w:rPr>
        <w:t>8</w:t>
      </w:r>
      <w:r w:rsidRPr="00236380">
        <w:rPr>
          <w:rFonts w:asciiTheme="minorHAnsi" w:eastAsia="Arial" w:hAnsiTheme="minorHAnsi" w:cstheme="minorHAnsi"/>
        </w:rPr>
        <w:t xml:space="preserve"> dla 65°</w:t>
      </w:r>
    </w:p>
    <w:p w:rsidR="00232D59" w:rsidRPr="00236380" w:rsidRDefault="00275196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236380">
        <w:rPr>
          <w:rFonts w:asciiTheme="minorHAnsi" w:hAnsiTheme="minorHAnsi" w:cstheme="minorHAnsi"/>
        </w:rPr>
        <w:t xml:space="preserve">wskaźnik oddawania barw </w:t>
      </w:r>
      <w:r w:rsidR="007C548B" w:rsidRPr="00236380">
        <w:rPr>
          <w:rFonts w:asciiTheme="minorHAnsi" w:hAnsiTheme="minorHAnsi" w:cstheme="minorHAnsi"/>
        </w:rPr>
        <w:t xml:space="preserve">≥ </w:t>
      </w:r>
      <w:r w:rsidRPr="00236380">
        <w:rPr>
          <w:rFonts w:asciiTheme="minorHAnsi" w:hAnsiTheme="minorHAnsi" w:cstheme="minorHAnsi"/>
        </w:rPr>
        <w:t>90</w:t>
      </w:r>
    </w:p>
    <w:p w:rsidR="00232D59" w:rsidRPr="00236380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236380">
        <w:rPr>
          <w:rFonts w:asciiTheme="minorHAnsi" w:hAnsiTheme="minorHAnsi" w:cstheme="minorHAnsi"/>
        </w:rPr>
        <w:t>współczynnik TLCI –</w:t>
      </w:r>
      <w:r w:rsidR="00A35684" w:rsidRPr="00236380">
        <w:rPr>
          <w:rFonts w:asciiTheme="minorHAnsi" w:hAnsiTheme="minorHAnsi" w:cstheme="minorHAnsi"/>
        </w:rPr>
        <w:t xml:space="preserve"> </w:t>
      </w:r>
      <w:r w:rsidRPr="00236380">
        <w:rPr>
          <w:rFonts w:asciiTheme="minorHAnsi" w:hAnsiTheme="minorHAnsi" w:cstheme="minorHAnsi"/>
        </w:rPr>
        <w:t>min. 90</w:t>
      </w:r>
    </w:p>
    <w:p w:rsidR="00232D59" w:rsidRPr="00236380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236380">
        <w:rPr>
          <w:rFonts w:asciiTheme="minorHAnsi" w:hAnsiTheme="minorHAnsi" w:cstheme="minorHAnsi"/>
        </w:rPr>
        <w:t>temperatura barwowa 5700 K +- 300 K</w:t>
      </w:r>
    </w:p>
    <w:p w:rsidR="00232D59" w:rsidRPr="00236380" w:rsidRDefault="00DC2466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 opraw max. 16</w:t>
      </w:r>
      <w:r w:rsidR="00232D59" w:rsidRPr="00236380">
        <w:rPr>
          <w:rFonts w:asciiTheme="minorHAnsi" w:hAnsiTheme="minorHAnsi" w:cstheme="minorHAnsi"/>
        </w:rPr>
        <w:t>00W</w:t>
      </w:r>
    </w:p>
    <w:p w:rsidR="00232D59" w:rsidRPr="00236380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236380">
        <w:rPr>
          <w:rFonts w:asciiTheme="minorHAnsi" w:hAnsiTheme="minorHAnsi" w:cstheme="minorHAnsi"/>
        </w:rPr>
        <w:t>skuteczność świetlna min. 105lm/W</w:t>
      </w:r>
    </w:p>
    <w:p w:rsidR="00232D59" w:rsidRPr="00BD1595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obudowa i rama oprawy</w:t>
      </w:r>
      <w:r w:rsidR="00275196" w:rsidRPr="00BD1595">
        <w:rPr>
          <w:rFonts w:asciiTheme="minorHAnsi" w:hAnsiTheme="minorHAnsi" w:cstheme="minorHAnsi"/>
        </w:rPr>
        <w:t>: odlew aluminium</w:t>
      </w:r>
    </w:p>
    <w:p w:rsidR="00D95527" w:rsidRPr="00BD1595" w:rsidRDefault="00D95527" w:rsidP="00D95527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 xml:space="preserve">zakres temperatur </w:t>
      </w:r>
      <w:r w:rsidR="007C548B" w:rsidRPr="00BD1595">
        <w:rPr>
          <w:rFonts w:asciiTheme="minorHAnsi" w:hAnsiTheme="minorHAnsi" w:cstheme="minorHAnsi"/>
        </w:rPr>
        <w:t>pracy:</w:t>
      </w:r>
      <w:r w:rsidR="00865FD3" w:rsidRPr="00BD1595">
        <w:rPr>
          <w:rFonts w:asciiTheme="minorHAnsi" w:hAnsiTheme="minorHAnsi" w:cstheme="minorHAnsi"/>
        </w:rPr>
        <w:t xml:space="preserve"> </w:t>
      </w:r>
      <w:r w:rsidR="007C548B" w:rsidRPr="00BD1595">
        <w:rPr>
          <w:rFonts w:asciiTheme="minorHAnsi" w:hAnsiTheme="minorHAnsi" w:cstheme="minorHAnsi"/>
        </w:rPr>
        <w:t xml:space="preserve"> - </w:t>
      </w:r>
      <w:r w:rsidR="000052D9" w:rsidRPr="00BD1595">
        <w:rPr>
          <w:rFonts w:asciiTheme="minorHAnsi" w:hAnsiTheme="minorHAnsi" w:cstheme="minorHAnsi"/>
        </w:rPr>
        <w:t>30</w:t>
      </w:r>
      <w:r w:rsidRPr="00BD1595">
        <w:rPr>
          <w:rFonts w:asciiTheme="minorHAnsi" w:hAnsiTheme="minorHAnsi" w:cstheme="minorHAnsi"/>
        </w:rPr>
        <w:t>°C and +</w:t>
      </w:r>
      <w:r w:rsidR="000052D9" w:rsidRPr="00BD1595">
        <w:rPr>
          <w:rFonts w:asciiTheme="minorHAnsi" w:hAnsiTheme="minorHAnsi" w:cstheme="minorHAnsi"/>
        </w:rPr>
        <w:t>40</w:t>
      </w:r>
      <w:r w:rsidRPr="00BD1595">
        <w:rPr>
          <w:rFonts w:asciiTheme="minorHAnsi" w:hAnsiTheme="minorHAnsi" w:cstheme="minorHAnsi"/>
        </w:rPr>
        <w:t xml:space="preserve">°C </w:t>
      </w:r>
    </w:p>
    <w:p w:rsidR="00232D59" w:rsidRPr="00BD1595" w:rsidRDefault="00232D59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certyfikat ENEC i deklaracja CE</w:t>
      </w:r>
    </w:p>
    <w:p w:rsidR="00A35684" w:rsidRPr="00BD1595" w:rsidRDefault="00A35684" w:rsidP="002C4A34">
      <w:pPr>
        <w:pStyle w:val="Akapitzlist"/>
        <w:widowControl/>
        <w:numPr>
          <w:ilvl w:val="0"/>
          <w:numId w:val="14"/>
        </w:numPr>
        <w:spacing w:after="160" w:line="276" w:lineRule="auto"/>
        <w:ind w:left="1134"/>
        <w:contextualSpacing/>
        <w:rPr>
          <w:rFonts w:asciiTheme="minorHAnsi" w:hAnsiTheme="minorHAnsi" w:cstheme="minorHAnsi"/>
          <w:b/>
        </w:rPr>
      </w:pPr>
      <w:r w:rsidRPr="00BD1595">
        <w:rPr>
          <w:rFonts w:asciiTheme="minorHAnsi" w:hAnsiTheme="minorHAnsi" w:cstheme="minorHAnsi"/>
        </w:rPr>
        <w:t>gwarancja min</w:t>
      </w:r>
      <w:r w:rsidR="00047E45" w:rsidRPr="00BD1595">
        <w:rPr>
          <w:rFonts w:asciiTheme="minorHAnsi" w:hAnsiTheme="minorHAnsi" w:cstheme="minorHAnsi"/>
        </w:rPr>
        <w:t>imum</w:t>
      </w:r>
      <w:r w:rsidRPr="00BD1595">
        <w:rPr>
          <w:rFonts w:asciiTheme="minorHAnsi" w:hAnsiTheme="minorHAnsi" w:cstheme="minorHAnsi"/>
        </w:rPr>
        <w:t xml:space="preserve"> </w:t>
      </w:r>
      <w:r w:rsidRPr="00BD1595">
        <w:rPr>
          <w:rFonts w:asciiTheme="minorHAnsi" w:hAnsiTheme="minorHAnsi" w:cstheme="minorHAnsi"/>
          <w:b/>
        </w:rPr>
        <w:t>10 lat</w:t>
      </w:r>
    </w:p>
    <w:p w:rsidR="00232D59" w:rsidRPr="00BD1595" w:rsidRDefault="00232D59" w:rsidP="00275196">
      <w:pPr>
        <w:pStyle w:val="Akapitzlist"/>
        <w:widowControl/>
        <w:spacing w:after="160" w:line="276" w:lineRule="auto"/>
        <w:ind w:left="0" w:firstLine="0"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Układ zapłonowy:</w:t>
      </w:r>
    </w:p>
    <w:p w:rsidR="00232D59" w:rsidRPr="00BD1595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wskaźnik migotania poniżej 1%</w:t>
      </w:r>
    </w:p>
    <w:p w:rsidR="00232D59" w:rsidRPr="00BD1595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 xml:space="preserve">protokół </w:t>
      </w:r>
      <w:r w:rsidR="00546B38" w:rsidRPr="00BD1595">
        <w:rPr>
          <w:rFonts w:asciiTheme="minorHAnsi" w:hAnsiTheme="minorHAnsi" w:cstheme="minorHAnsi"/>
        </w:rPr>
        <w:t>sterowania RDM</w:t>
      </w:r>
      <w:r w:rsidR="00275196" w:rsidRPr="00BD1595">
        <w:rPr>
          <w:rFonts w:asciiTheme="minorHAnsi" w:hAnsiTheme="minorHAnsi" w:cstheme="minorHAnsi"/>
        </w:rPr>
        <w:t>/DMX bez stosowania konwerterów</w:t>
      </w:r>
    </w:p>
    <w:p w:rsidR="00232D59" w:rsidRPr="00BD1595" w:rsidRDefault="00467D9C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min. IP66</w:t>
      </w:r>
    </w:p>
    <w:p w:rsidR="00232D59" w:rsidRPr="00BD1595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ochrona przepięciowa 10</w:t>
      </w:r>
      <w:r w:rsidR="00275196" w:rsidRPr="00BD1595">
        <w:rPr>
          <w:rFonts w:asciiTheme="minorHAnsi" w:hAnsiTheme="minorHAnsi" w:cstheme="minorHAnsi"/>
        </w:rPr>
        <w:t xml:space="preserve"> </w:t>
      </w:r>
      <w:proofErr w:type="spellStart"/>
      <w:r w:rsidR="00E97DB0" w:rsidRPr="00BD1595">
        <w:rPr>
          <w:rFonts w:asciiTheme="minorHAnsi" w:hAnsiTheme="minorHAnsi" w:cstheme="minorHAnsi"/>
        </w:rPr>
        <w:t>kV</w:t>
      </w:r>
      <w:proofErr w:type="spellEnd"/>
    </w:p>
    <w:p w:rsidR="00232D59" w:rsidRPr="00BD1595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maksymalna odległość od układu do oprawy do 200</w:t>
      </w:r>
      <w:r w:rsidR="00275196" w:rsidRPr="00BD1595">
        <w:rPr>
          <w:rFonts w:asciiTheme="minorHAnsi" w:hAnsiTheme="minorHAnsi" w:cstheme="minorHAnsi"/>
        </w:rPr>
        <w:t xml:space="preserve"> </w:t>
      </w:r>
      <w:r w:rsidRPr="00BD1595">
        <w:rPr>
          <w:rFonts w:asciiTheme="minorHAnsi" w:hAnsiTheme="minorHAnsi" w:cstheme="minorHAnsi"/>
        </w:rPr>
        <w:t xml:space="preserve">m </w:t>
      </w:r>
    </w:p>
    <w:p w:rsidR="00232D59" w:rsidRPr="00BD1595" w:rsidRDefault="00275196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obudowa aluminium</w:t>
      </w:r>
    </w:p>
    <w:p w:rsidR="00232D59" w:rsidRPr="00BD1595" w:rsidRDefault="00275196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I lub II klasa ochronności</w:t>
      </w:r>
    </w:p>
    <w:p w:rsidR="00232D59" w:rsidRPr="00BD1595" w:rsidRDefault="00275196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 xml:space="preserve">współczynnik mocy </w:t>
      </w:r>
      <w:r w:rsidR="00D95527" w:rsidRPr="00BD1595">
        <w:rPr>
          <w:rFonts w:asciiTheme="minorHAnsi" w:hAnsiTheme="minorHAnsi" w:cstheme="minorHAnsi"/>
        </w:rPr>
        <w:t>≥</w:t>
      </w:r>
      <w:r w:rsidRPr="00BD1595">
        <w:rPr>
          <w:rFonts w:asciiTheme="minorHAnsi" w:hAnsiTheme="minorHAnsi" w:cstheme="minorHAnsi"/>
        </w:rPr>
        <w:t xml:space="preserve"> 0,95</w:t>
      </w:r>
    </w:p>
    <w:p w:rsidR="007C548B" w:rsidRPr="00BD1595" w:rsidRDefault="007C548B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zakres ściemniania: 1% - 100%</w:t>
      </w:r>
    </w:p>
    <w:p w:rsidR="00275196" w:rsidRPr="00BD1595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rFonts w:asciiTheme="minorHAnsi" w:hAnsiTheme="minorHAnsi" w:cstheme="minorHAnsi"/>
        </w:rPr>
      </w:pPr>
      <w:r w:rsidRPr="00BD1595">
        <w:rPr>
          <w:rFonts w:asciiTheme="minorHAnsi" w:hAnsiTheme="minorHAnsi" w:cstheme="minorHAnsi"/>
        </w:rPr>
        <w:t>zak</w:t>
      </w:r>
      <w:r w:rsidR="00275196" w:rsidRPr="00BD1595">
        <w:rPr>
          <w:rFonts w:asciiTheme="minorHAnsi" w:hAnsiTheme="minorHAnsi" w:cstheme="minorHAnsi"/>
        </w:rPr>
        <w:t xml:space="preserve">res </w:t>
      </w:r>
      <w:r w:rsidR="00546B38" w:rsidRPr="00BD1595">
        <w:rPr>
          <w:rFonts w:asciiTheme="minorHAnsi" w:hAnsiTheme="minorHAnsi" w:cstheme="minorHAnsi"/>
        </w:rPr>
        <w:t>temperatur</w:t>
      </w:r>
      <w:r w:rsidR="00865FD3" w:rsidRPr="00BD1595">
        <w:rPr>
          <w:rFonts w:asciiTheme="minorHAnsi" w:hAnsiTheme="minorHAnsi" w:cstheme="minorHAnsi"/>
        </w:rPr>
        <w:t xml:space="preserve"> </w:t>
      </w:r>
      <w:r w:rsidR="007C548B" w:rsidRPr="00BD1595">
        <w:rPr>
          <w:rFonts w:asciiTheme="minorHAnsi" w:hAnsiTheme="minorHAnsi" w:cstheme="minorHAnsi"/>
        </w:rPr>
        <w:t>pracy</w:t>
      </w:r>
      <w:r w:rsidR="00236380" w:rsidRPr="00BD1595">
        <w:rPr>
          <w:rFonts w:asciiTheme="minorHAnsi" w:hAnsiTheme="minorHAnsi" w:cstheme="minorHAnsi"/>
        </w:rPr>
        <w:t>:</w:t>
      </w:r>
      <w:r w:rsidR="00546B38" w:rsidRPr="00BD1595">
        <w:rPr>
          <w:rFonts w:asciiTheme="minorHAnsi" w:hAnsiTheme="minorHAnsi" w:cstheme="minorHAnsi"/>
        </w:rPr>
        <w:t xml:space="preserve"> -</w:t>
      </w:r>
      <w:r w:rsidR="00275196" w:rsidRPr="00BD1595">
        <w:rPr>
          <w:rFonts w:asciiTheme="minorHAnsi" w:hAnsiTheme="minorHAnsi" w:cstheme="minorHAnsi"/>
        </w:rPr>
        <w:t>40°C and +45°C</w:t>
      </w:r>
      <w:r w:rsidRPr="00BD1595">
        <w:rPr>
          <w:rFonts w:asciiTheme="minorHAnsi" w:hAnsiTheme="minorHAnsi" w:cstheme="minorHAnsi"/>
        </w:rPr>
        <w:t xml:space="preserve"> </w:t>
      </w:r>
    </w:p>
    <w:p w:rsidR="00232D59" w:rsidRPr="00BD1595" w:rsidRDefault="00232D59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</w:pPr>
      <w:r w:rsidRPr="00BD1595">
        <w:rPr>
          <w:rFonts w:asciiTheme="minorHAnsi" w:hAnsiTheme="minorHAnsi" w:cstheme="minorHAnsi"/>
        </w:rPr>
        <w:t>certyfikat ENEC i deklaracja CE</w:t>
      </w:r>
    </w:p>
    <w:p w:rsidR="00A35684" w:rsidRPr="00BD1595" w:rsidRDefault="00A35684" w:rsidP="002C4A34">
      <w:pPr>
        <w:pStyle w:val="Akapitzlist"/>
        <w:widowControl/>
        <w:numPr>
          <w:ilvl w:val="0"/>
          <w:numId w:val="15"/>
        </w:numPr>
        <w:spacing w:after="160" w:line="276" w:lineRule="auto"/>
        <w:ind w:left="1134"/>
        <w:contextualSpacing/>
        <w:rPr>
          <w:b/>
        </w:rPr>
      </w:pPr>
      <w:r w:rsidRPr="00BD1595">
        <w:rPr>
          <w:rFonts w:asciiTheme="minorHAnsi" w:hAnsiTheme="minorHAnsi" w:cstheme="minorHAnsi"/>
        </w:rPr>
        <w:t>gwarancja min</w:t>
      </w:r>
      <w:r w:rsidR="00CF6C8E" w:rsidRPr="00BD1595">
        <w:rPr>
          <w:rFonts w:asciiTheme="minorHAnsi" w:hAnsiTheme="minorHAnsi" w:cstheme="minorHAnsi"/>
        </w:rPr>
        <w:t>imum</w:t>
      </w:r>
      <w:r w:rsidRPr="00BD1595">
        <w:rPr>
          <w:rFonts w:asciiTheme="minorHAnsi" w:hAnsiTheme="minorHAnsi" w:cstheme="minorHAnsi"/>
        </w:rPr>
        <w:t xml:space="preserve"> </w:t>
      </w:r>
      <w:r w:rsidRPr="00BD1595">
        <w:rPr>
          <w:rFonts w:asciiTheme="minorHAnsi" w:hAnsiTheme="minorHAnsi" w:cstheme="minorHAnsi"/>
          <w:b/>
        </w:rPr>
        <w:t>10 lat</w:t>
      </w:r>
    </w:p>
    <w:p w:rsidR="00E97DB0" w:rsidRPr="00BD1595" w:rsidRDefault="00A35684" w:rsidP="00A675E3">
      <w:pPr>
        <w:pStyle w:val="Nagwek2"/>
      </w:pPr>
      <w:bookmarkStart w:id="19" w:name="_Toc47560275"/>
      <w:r w:rsidRPr="00BD1595">
        <w:t>Minimalne wymagania</w:t>
      </w:r>
      <w:r w:rsidR="00E97DB0" w:rsidRPr="00BD1595">
        <w:t xml:space="preserve"> systemu sterowania oświetleniem (SSO)</w:t>
      </w:r>
      <w:bookmarkEnd w:id="19"/>
    </w:p>
    <w:p w:rsidR="00E97DB0" w:rsidRPr="005F7B93" w:rsidRDefault="00E97DB0" w:rsidP="00E97DB0">
      <w:pPr>
        <w:pStyle w:val="Nagwek3"/>
      </w:pPr>
      <w:bookmarkStart w:id="20" w:name="_Toc47560276"/>
      <w:r w:rsidRPr="005F7B93">
        <w:t>Definicje</w:t>
      </w:r>
      <w:bookmarkEnd w:id="20"/>
    </w:p>
    <w:p w:rsidR="00E97DB0" w:rsidRPr="005F7B93" w:rsidRDefault="003674CC" w:rsidP="00E97DB0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  <w:bCs/>
        </w:rPr>
        <w:t xml:space="preserve">Należy przewidzieć </w:t>
      </w:r>
      <w:r w:rsidR="00E97DB0" w:rsidRPr="005F7B93">
        <w:rPr>
          <w:rFonts w:asciiTheme="minorHAnsi" w:hAnsiTheme="minorHAnsi" w:cstheme="minorHAnsi"/>
          <w:bCs/>
        </w:rPr>
        <w:t>DMX512-A</w:t>
      </w:r>
      <w:r w:rsidRPr="005F7B93">
        <w:rPr>
          <w:rFonts w:asciiTheme="minorHAnsi" w:hAnsiTheme="minorHAnsi" w:cstheme="minorHAnsi"/>
        </w:rPr>
        <w:t xml:space="preserve"> (Digital </w:t>
      </w:r>
      <w:proofErr w:type="spellStart"/>
      <w:r w:rsidRPr="005F7B93">
        <w:rPr>
          <w:rFonts w:asciiTheme="minorHAnsi" w:hAnsiTheme="minorHAnsi" w:cstheme="minorHAnsi"/>
        </w:rPr>
        <w:t>MultipleX</w:t>
      </w:r>
      <w:proofErr w:type="spellEnd"/>
      <w:r w:rsidRPr="005F7B93">
        <w:rPr>
          <w:rFonts w:asciiTheme="minorHAnsi" w:hAnsiTheme="minorHAnsi" w:cstheme="minorHAnsi"/>
        </w:rPr>
        <w:t>) jako</w:t>
      </w:r>
      <w:r w:rsidR="00E97DB0" w:rsidRPr="005F7B93">
        <w:rPr>
          <w:rFonts w:asciiTheme="minorHAnsi" w:hAnsiTheme="minorHAnsi" w:cstheme="minorHAnsi"/>
        </w:rPr>
        <w:t xml:space="preserve"> standardowy protokół RS485 do komu</w:t>
      </w:r>
      <w:r w:rsidR="005C3288">
        <w:rPr>
          <w:rFonts w:asciiTheme="minorHAnsi" w:hAnsiTheme="minorHAnsi" w:cstheme="minorHAnsi"/>
        </w:rPr>
        <w:t>35</w:t>
      </w:r>
      <w:r w:rsidR="00E97DB0" w:rsidRPr="005F7B93">
        <w:rPr>
          <w:rFonts w:asciiTheme="minorHAnsi" w:hAnsiTheme="minorHAnsi" w:cstheme="minorHAnsi"/>
        </w:rPr>
        <w:t xml:space="preserve">nikacji cyfrowej, który jest powszechnie używany do sterowania oświetleniem scenicznym. Standard DMX512-A został pierwotnie stworzony przez Stowarzyszenie Usług i Technologii Rozrywkowych (ESTA). </w:t>
      </w:r>
      <w:proofErr w:type="spellStart"/>
      <w:r w:rsidR="00E97DB0" w:rsidRPr="005F7B93">
        <w:rPr>
          <w:rFonts w:asciiTheme="minorHAnsi" w:hAnsiTheme="minorHAnsi" w:cstheme="minorHAnsi"/>
          <w:lang w:val="en-US"/>
        </w:rPr>
        <w:t>Obecnie</w:t>
      </w:r>
      <w:proofErr w:type="spellEnd"/>
      <w:r w:rsidR="00E97DB0" w:rsidRPr="005F7B93">
        <w:rPr>
          <w:rFonts w:asciiTheme="minorHAnsi" w:hAnsiTheme="minorHAnsi" w:cstheme="minorHAnsi"/>
          <w:lang w:val="en-US"/>
        </w:rPr>
        <w:t xml:space="preserve"> standard jest </w:t>
      </w:r>
      <w:proofErr w:type="spellStart"/>
      <w:r w:rsidR="00E97DB0" w:rsidRPr="005F7B93">
        <w:rPr>
          <w:rFonts w:asciiTheme="minorHAnsi" w:hAnsiTheme="minorHAnsi" w:cstheme="minorHAnsi"/>
          <w:lang w:val="en-US"/>
        </w:rPr>
        <w:t>utrzymywany</w:t>
      </w:r>
      <w:proofErr w:type="spellEnd"/>
      <w:r w:rsidR="00E97DB0" w:rsidRPr="005F7B9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97DB0" w:rsidRPr="005F7B93">
        <w:rPr>
          <w:rFonts w:asciiTheme="minorHAnsi" w:hAnsiTheme="minorHAnsi" w:cstheme="minorHAnsi"/>
          <w:lang w:val="en-US"/>
        </w:rPr>
        <w:t>przez</w:t>
      </w:r>
      <w:proofErr w:type="spellEnd"/>
      <w:r w:rsidR="00E97DB0" w:rsidRPr="005F7B93">
        <w:rPr>
          <w:rFonts w:asciiTheme="minorHAnsi" w:hAnsiTheme="minorHAnsi" w:cstheme="minorHAnsi"/>
          <w:lang w:val="en-US"/>
        </w:rPr>
        <w:t xml:space="preserve"> Professional Lighting and Sound Association (PLASA). </w:t>
      </w:r>
      <w:r w:rsidR="00E97DB0" w:rsidRPr="005F7B93">
        <w:rPr>
          <w:rFonts w:asciiTheme="minorHAnsi" w:hAnsiTheme="minorHAnsi" w:cstheme="minorHAnsi"/>
        </w:rPr>
        <w:t>Aktualna wersja standardem jest E1.11 - 2008, USITT DMX512-A lub DMX512-A. System</w:t>
      </w:r>
      <w:r w:rsidRPr="005F7B93">
        <w:rPr>
          <w:rFonts w:asciiTheme="minorHAnsi" w:hAnsiTheme="minorHAnsi" w:cstheme="minorHAnsi"/>
        </w:rPr>
        <w:t xml:space="preserve"> musi</w:t>
      </w:r>
      <w:r w:rsidR="00E97DB0" w:rsidRPr="005F7B93">
        <w:rPr>
          <w:rFonts w:asciiTheme="minorHAnsi" w:hAnsiTheme="minorHAnsi" w:cstheme="minorHAnsi"/>
        </w:rPr>
        <w:t xml:space="preserve"> posiada</w:t>
      </w:r>
      <w:r w:rsidRPr="005F7B93">
        <w:rPr>
          <w:rFonts w:asciiTheme="minorHAnsi" w:hAnsiTheme="minorHAnsi" w:cstheme="minorHAnsi"/>
        </w:rPr>
        <w:t>ć</w:t>
      </w:r>
      <w:r w:rsidR="00E97DB0" w:rsidRPr="005F7B93">
        <w:rPr>
          <w:rFonts w:asciiTheme="minorHAnsi" w:hAnsiTheme="minorHAnsi" w:cstheme="minorHAnsi"/>
        </w:rPr>
        <w:t xml:space="preserve"> pojemność 512 niezależnych kanałów, z których każdy może przyjąć jeden z 256 poziomów. Maksymalna liczba urządzeń w jednej linii to 32. W przypadku konieczności sterowania większą ilością urządzeń należy przewidzieć odpowiednią ilości linii DMX lub użyć rozdzielaczy DMX RDM.</w:t>
      </w:r>
    </w:p>
    <w:p w:rsidR="00E97DB0" w:rsidRPr="005F7B93" w:rsidRDefault="003674CC" w:rsidP="00E97DB0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Należy przewidzieć p</w:t>
      </w:r>
      <w:r w:rsidR="00E97DB0" w:rsidRPr="005F7B93">
        <w:rPr>
          <w:rFonts w:asciiTheme="minorHAnsi" w:hAnsiTheme="minorHAnsi" w:cstheme="minorHAnsi"/>
        </w:rPr>
        <w:t xml:space="preserve">rotokół </w:t>
      </w:r>
      <w:r w:rsidR="00E97DB0" w:rsidRPr="005F7B93">
        <w:rPr>
          <w:rFonts w:asciiTheme="minorHAnsi" w:hAnsiTheme="minorHAnsi" w:cstheme="minorHAnsi"/>
          <w:bCs/>
        </w:rPr>
        <w:t>RDM</w:t>
      </w:r>
      <w:r w:rsidR="00E97DB0" w:rsidRPr="005F7B93">
        <w:rPr>
          <w:rFonts w:asciiTheme="minorHAnsi" w:hAnsiTheme="minorHAnsi" w:cstheme="minorHAnsi"/>
        </w:rPr>
        <w:t xml:space="preserve"> (Remote Device Management) - </w:t>
      </w:r>
      <w:r w:rsidRPr="005F7B93">
        <w:rPr>
          <w:rFonts w:asciiTheme="minorHAnsi" w:hAnsiTheme="minorHAnsi" w:cstheme="minorHAnsi"/>
        </w:rPr>
        <w:t>zdalne zarządzanie urządzeniami jako</w:t>
      </w:r>
      <w:r w:rsidR="00E97DB0" w:rsidRPr="005F7B93">
        <w:rPr>
          <w:rFonts w:asciiTheme="minorHAnsi" w:hAnsiTheme="minorHAnsi" w:cstheme="minorHAnsi"/>
        </w:rPr>
        <w:t xml:space="preserve"> rozszerzenie standardu DMX, pozwalające na dwukierunkową komunikację </w:t>
      </w:r>
      <w:r w:rsidR="00E97DB0" w:rsidRPr="005F7B93">
        <w:rPr>
          <w:rFonts w:asciiTheme="minorHAnsi" w:hAnsiTheme="minorHAnsi" w:cstheme="minorHAnsi"/>
        </w:rPr>
        <w:lastRenderedPageBreak/>
        <w:t>sterownika DMX z urządzeniami wykonawczymi po przewodach DMX. Protokół zgodny z ANSI E1.20.</w:t>
      </w:r>
    </w:p>
    <w:p w:rsidR="00E97DB0" w:rsidRPr="005F7B93" w:rsidRDefault="00415558" w:rsidP="00E97DB0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Funkcje</w:t>
      </w:r>
      <w:r w:rsidR="00E97DB0" w:rsidRPr="005F7B93">
        <w:rPr>
          <w:rFonts w:asciiTheme="minorHAnsi" w:hAnsiTheme="minorHAnsi" w:cstheme="minorHAnsi"/>
        </w:rPr>
        <w:t xml:space="preserve"> RDM: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znajdowanie i identyfikacja urządzenia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ustawianie adresów DMX dla poszczególnych obwodów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przypisanie do obwodu jednej z kilkunastu charakterystyk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wybór trybu pracy obwodu (obwód wyłączony, sterowanie 8-bitowe, sterowanie 16-bitowe)</w:t>
      </w:r>
    </w:p>
    <w:p w:rsidR="00E97DB0" w:rsidRPr="005F7B93" w:rsidRDefault="00E97DB0" w:rsidP="002C4A34">
      <w:pPr>
        <w:pStyle w:val="Akapitzlist"/>
        <w:widowControl/>
        <w:numPr>
          <w:ilvl w:val="0"/>
          <w:numId w:val="16"/>
        </w:numPr>
        <w:spacing w:after="160" w:line="276" w:lineRule="auto"/>
        <w:ind w:left="1134"/>
        <w:contextualSpacing/>
        <w:rPr>
          <w:rFonts w:asciiTheme="minorHAnsi" w:hAnsiTheme="minorHAnsi" w:cstheme="minorHAnsi"/>
          <w:lang w:val="sv-SE"/>
        </w:rPr>
      </w:pPr>
      <w:r w:rsidRPr="005F7B93">
        <w:rPr>
          <w:rFonts w:asciiTheme="minorHAnsi" w:hAnsiTheme="minorHAnsi" w:cstheme="minorHAnsi"/>
          <w:lang w:val="sv-SE"/>
        </w:rPr>
        <w:t>sygnalizacja sytuacji alarmowych</w:t>
      </w:r>
    </w:p>
    <w:p w:rsidR="000D1B31" w:rsidRPr="005F7B93" w:rsidRDefault="00555DE6" w:rsidP="000D1B31">
      <w:pPr>
        <w:pStyle w:val="Nagwek3"/>
      </w:pPr>
      <w:bookmarkStart w:id="21" w:name="_Toc47560277"/>
      <w:r w:rsidRPr="005F7B93">
        <w:t>Opis systemu sterowania oświetleniem (SSO)</w:t>
      </w:r>
      <w:bookmarkEnd w:id="21"/>
    </w:p>
    <w:p w:rsidR="008636A0" w:rsidRDefault="00256614" w:rsidP="008636A0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System sterowania oświetleniem (SSO) </w:t>
      </w:r>
      <w:r w:rsidR="00B57D2B">
        <w:rPr>
          <w:rFonts w:asciiTheme="minorHAnsi" w:hAnsiTheme="minorHAnsi" w:cstheme="minorHAnsi"/>
          <w:szCs w:val="20"/>
        </w:rPr>
        <w:t>musi</w:t>
      </w:r>
      <w:r w:rsidR="00B57D2B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>umożliwiać kontrolę, monitorowanie i zarządzanie oświetleniem sportowym z wykorzystaniem protokołu USITT DMX512-A oraz Art-Net</w:t>
      </w:r>
      <w:r w:rsidR="00BD1595">
        <w:rPr>
          <w:rFonts w:asciiTheme="minorHAnsi" w:hAnsiTheme="minorHAnsi" w:cstheme="minorHAnsi"/>
          <w:szCs w:val="20"/>
        </w:rPr>
        <w:t xml:space="preserve">, jak również </w:t>
      </w:r>
      <w:r w:rsidR="00772AD6" w:rsidRPr="00772AD6">
        <w:rPr>
          <w:rFonts w:asciiTheme="minorHAnsi" w:hAnsiTheme="minorHAnsi" w:cstheme="minorHAnsi"/>
          <w:szCs w:val="20"/>
        </w:rPr>
        <w:t xml:space="preserve"> </w:t>
      </w:r>
      <w:r w:rsidR="00772AD6">
        <w:rPr>
          <w:rFonts w:asciiTheme="minorHAnsi" w:hAnsiTheme="minorHAnsi" w:cstheme="minorHAnsi"/>
          <w:szCs w:val="20"/>
        </w:rPr>
        <w:t>płynną regulację natężenia oświetlenia</w:t>
      </w:r>
      <w:r w:rsidRPr="005F7B93">
        <w:rPr>
          <w:rFonts w:asciiTheme="minorHAnsi" w:hAnsiTheme="minorHAnsi" w:cstheme="minorHAnsi"/>
          <w:szCs w:val="20"/>
        </w:rPr>
        <w:t>.</w:t>
      </w:r>
      <w:r w:rsidR="008636A0" w:rsidRPr="008636A0">
        <w:rPr>
          <w:rFonts w:asciiTheme="minorHAnsi" w:hAnsiTheme="minorHAnsi" w:cstheme="minorHAnsi"/>
          <w:szCs w:val="20"/>
        </w:rPr>
        <w:t xml:space="preserve"> </w:t>
      </w:r>
      <w:r w:rsidR="008636A0">
        <w:rPr>
          <w:rFonts w:asciiTheme="minorHAnsi" w:hAnsiTheme="minorHAnsi" w:cstheme="minorHAnsi"/>
          <w:szCs w:val="20"/>
        </w:rPr>
        <w:t>Istnieje możliwość wykorzystania istniejącej sieci LAN dla potrzeb SSO.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Realizator ma </w:t>
      </w:r>
      <w:r w:rsidR="004F5D60" w:rsidRPr="005F7B93">
        <w:rPr>
          <w:rFonts w:asciiTheme="minorHAnsi" w:hAnsiTheme="minorHAnsi" w:cstheme="minorHAnsi"/>
          <w:szCs w:val="20"/>
        </w:rPr>
        <w:t xml:space="preserve">mieć </w:t>
      </w:r>
      <w:r w:rsidRPr="005F7B93">
        <w:rPr>
          <w:rFonts w:asciiTheme="minorHAnsi" w:hAnsiTheme="minorHAnsi" w:cstheme="minorHAnsi"/>
          <w:szCs w:val="20"/>
        </w:rPr>
        <w:t>możliwość kontrolowania oświetlenia ogólnego poprzez zastosowany panel dotykowy lub może przełączyć się w tryb sterowania z poziomu zewnętrznej konsoli DMX</w:t>
      </w:r>
      <w:r w:rsidR="00744B9E">
        <w:rPr>
          <w:rFonts w:asciiTheme="minorHAnsi" w:hAnsiTheme="minorHAnsi" w:cstheme="minorHAnsi"/>
          <w:szCs w:val="20"/>
        </w:rPr>
        <w:t xml:space="preserve">. </w:t>
      </w:r>
      <w:r w:rsidR="00744B9E" w:rsidRPr="00744B9E">
        <w:rPr>
          <w:rFonts w:asciiTheme="minorHAnsi" w:hAnsiTheme="minorHAnsi" w:cstheme="minorHAnsi"/>
          <w:b/>
          <w:szCs w:val="20"/>
        </w:rPr>
        <w:t>Zewnętrzna konsola nie jest przedmiotem zamówienia.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Panel dotykowy (TPS) </w:t>
      </w:r>
      <w:r w:rsidR="004F5D60" w:rsidRPr="005F7B93">
        <w:rPr>
          <w:rFonts w:asciiTheme="minorHAnsi" w:hAnsiTheme="minorHAnsi" w:cstheme="minorHAnsi"/>
          <w:szCs w:val="20"/>
        </w:rPr>
        <w:t xml:space="preserve">powinien umożliwiać </w:t>
      </w:r>
      <w:r w:rsidRPr="005F7B93">
        <w:rPr>
          <w:rFonts w:asciiTheme="minorHAnsi" w:hAnsiTheme="minorHAnsi" w:cstheme="minorHAnsi"/>
          <w:szCs w:val="20"/>
        </w:rPr>
        <w:t xml:space="preserve">wywołanie wcześniej zdefiniowanych scen świetlnych bez możliwości ingerencji w ich ustawienia oraz ręczną regulację poziomów jasności oświetlenia. Panel dotykowy </w:t>
      </w:r>
      <w:r w:rsidR="004F5D60" w:rsidRPr="005F7B93">
        <w:rPr>
          <w:rFonts w:asciiTheme="minorHAnsi" w:hAnsiTheme="minorHAnsi" w:cstheme="minorHAnsi"/>
          <w:szCs w:val="20"/>
        </w:rPr>
        <w:t>należy za</w:t>
      </w:r>
      <w:r w:rsidRPr="005F7B93">
        <w:rPr>
          <w:rFonts w:asciiTheme="minorHAnsi" w:hAnsiTheme="minorHAnsi" w:cstheme="minorHAnsi"/>
          <w:szCs w:val="20"/>
        </w:rPr>
        <w:t xml:space="preserve">montować w pomieszczeniu </w:t>
      </w:r>
      <w:proofErr w:type="spellStart"/>
      <w:r w:rsidRPr="005F7B93">
        <w:rPr>
          <w:rFonts w:asciiTheme="minorHAnsi" w:hAnsiTheme="minorHAnsi" w:cstheme="minorHAnsi"/>
          <w:szCs w:val="20"/>
        </w:rPr>
        <w:t>SkyBox</w:t>
      </w:r>
      <w:proofErr w:type="spellEnd"/>
      <w:r w:rsidRPr="005F7B93">
        <w:rPr>
          <w:rFonts w:asciiTheme="minorHAnsi" w:hAnsiTheme="minorHAnsi" w:cstheme="minorHAnsi"/>
          <w:szCs w:val="20"/>
        </w:rPr>
        <w:t xml:space="preserve"> Poziom +6.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Możliwość zmiany ustawień scen świetlnych, usuwanie lub tworzenie nowych </w:t>
      </w:r>
      <w:r w:rsidR="00B57D2B">
        <w:rPr>
          <w:rFonts w:asciiTheme="minorHAnsi" w:hAnsiTheme="minorHAnsi" w:cstheme="minorHAnsi"/>
          <w:szCs w:val="20"/>
        </w:rPr>
        <w:t>musi</w:t>
      </w:r>
      <w:r w:rsidR="00B57D2B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>posiadać administrator systemu z poziomu dedykowanego oprogramowania zainstalowanego na dedykowanym komputerze klasy PC. Komputer ten należy zlokalizować w pomieszczeniu Elektryków.</w:t>
      </w:r>
      <w:r w:rsidR="004F5D60" w:rsidRPr="005F7B93">
        <w:rPr>
          <w:rFonts w:asciiTheme="minorHAnsi" w:hAnsiTheme="minorHAnsi" w:cstheme="minorHAnsi"/>
          <w:szCs w:val="20"/>
        </w:rPr>
        <w:t xml:space="preserve"> W zakresie Zamówienia należy uwzględnić komputer klasy PC z min. 23’ monitorem dotykowym wraz z nieograniczonymi czasowo licencjami na oprogramowanie.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SSO ma umożliwiać generowanie zdarzeń zaplanowanych z wykorzystaniem harmonogramów. Harmonogramy </w:t>
      </w:r>
      <w:r w:rsidR="00B57D2B">
        <w:rPr>
          <w:rFonts w:asciiTheme="minorHAnsi" w:hAnsiTheme="minorHAnsi" w:cstheme="minorHAnsi"/>
          <w:szCs w:val="20"/>
        </w:rPr>
        <w:t>muszą</w:t>
      </w:r>
      <w:r w:rsidR="00B57D2B" w:rsidRPr="005F7B93">
        <w:rPr>
          <w:rFonts w:asciiTheme="minorHAnsi" w:hAnsiTheme="minorHAnsi" w:cstheme="minorHAnsi"/>
          <w:szCs w:val="20"/>
        </w:rPr>
        <w:t xml:space="preserve"> </w:t>
      </w:r>
      <w:r w:rsidRPr="005F7B93">
        <w:rPr>
          <w:rFonts w:asciiTheme="minorHAnsi" w:hAnsiTheme="minorHAnsi" w:cstheme="minorHAnsi"/>
          <w:szCs w:val="20"/>
        </w:rPr>
        <w:t>dawać możliwość wykorzystania systemowego zegara astronomicznego oraz zegara czasu rzeczywistego.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SSO zintegrować z istniejącym system BMS (Systemem Zarządzania Budynkiem) poprzez zestyk bez potencjałowy.</w:t>
      </w:r>
      <w:r w:rsidR="004F5D60" w:rsidRPr="005F7B93">
        <w:rPr>
          <w:rFonts w:asciiTheme="minorHAnsi" w:hAnsiTheme="minorHAnsi" w:cstheme="minorHAnsi"/>
          <w:szCs w:val="20"/>
        </w:rPr>
        <w:t xml:space="preserve"> Wywołanie włączenia oświetlenia w BMS poprzez zwarcie styku wywołuje załączenie oświetlenia LED w Sterowniku SSO. Dodatkowo załączenie oświetlenia w SSO (wywołanie sceny świetlnej) poprzez zwarcie styku </w:t>
      </w:r>
      <w:r w:rsidR="00A65223" w:rsidRPr="005F7B93">
        <w:rPr>
          <w:rFonts w:asciiTheme="minorHAnsi" w:hAnsiTheme="minorHAnsi" w:cstheme="minorHAnsi"/>
          <w:szCs w:val="20"/>
        </w:rPr>
        <w:t>bez potencjałowego</w:t>
      </w:r>
      <w:r w:rsidR="004F5D60" w:rsidRPr="005F7B93">
        <w:rPr>
          <w:rFonts w:asciiTheme="minorHAnsi" w:hAnsiTheme="minorHAnsi" w:cstheme="minorHAnsi"/>
          <w:szCs w:val="20"/>
        </w:rPr>
        <w:t xml:space="preserve"> wywoła załączenie pozostałej części oświetlenia (poprzez BMS).</w:t>
      </w:r>
    </w:p>
    <w:p w:rsidR="00256614" w:rsidRPr="005F7B93" w:rsidRDefault="00256614" w:rsidP="00256614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 xml:space="preserve">Należy zapewnić możliwość regulacji oświetlenie z dodatkowej, zewnętrznej konsoli DMX. Gniazda wejściowe DMX dla w/w konsoli należy zlokalizować w </w:t>
      </w:r>
      <w:proofErr w:type="spellStart"/>
      <w:r w:rsidRPr="005F7B93">
        <w:rPr>
          <w:rFonts w:asciiTheme="minorHAnsi" w:hAnsiTheme="minorHAnsi" w:cstheme="minorHAnsi"/>
          <w:szCs w:val="20"/>
        </w:rPr>
        <w:t>SkyBox</w:t>
      </w:r>
      <w:proofErr w:type="spellEnd"/>
      <w:r w:rsidRPr="005F7B93">
        <w:rPr>
          <w:rFonts w:asciiTheme="minorHAnsi" w:hAnsiTheme="minorHAnsi" w:cstheme="minorHAnsi"/>
          <w:szCs w:val="20"/>
        </w:rPr>
        <w:t xml:space="preserve"> Poziom +6 oraz drugi punkt na poziomie płyty boiska.</w:t>
      </w:r>
    </w:p>
    <w:p w:rsidR="00372BC2" w:rsidRPr="005F7B93" w:rsidRDefault="00256614" w:rsidP="00372BC2">
      <w:pPr>
        <w:rPr>
          <w:rFonts w:asciiTheme="minorHAnsi" w:hAnsiTheme="minorHAnsi" w:cstheme="minorHAnsi"/>
          <w:szCs w:val="20"/>
        </w:rPr>
      </w:pPr>
      <w:r w:rsidRPr="005F7B93">
        <w:rPr>
          <w:rFonts w:asciiTheme="minorHAnsi" w:hAnsiTheme="minorHAnsi" w:cstheme="minorHAnsi"/>
          <w:szCs w:val="20"/>
        </w:rPr>
        <w:t>Należy zapewnić możliwość regulacji oświetlenia z wykorzystaniem aplikacji mobilnej. Należy zapewnić integrację SSO z siecią strukturalną obiektu.</w:t>
      </w:r>
      <w:r w:rsidR="004F5D60" w:rsidRPr="005F7B93">
        <w:rPr>
          <w:rFonts w:asciiTheme="minorHAnsi" w:hAnsiTheme="minorHAnsi" w:cstheme="minorHAnsi"/>
          <w:szCs w:val="20"/>
        </w:rPr>
        <w:t xml:space="preserve"> W zakresie Zamówienia należy dostarczyć 2 sztuki przenośnych paneli dotykowych </w:t>
      </w:r>
      <w:r w:rsidR="00372BC2" w:rsidRPr="005F7B93">
        <w:rPr>
          <w:rFonts w:asciiTheme="minorHAnsi" w:hAnsiTheme="minorHAnsi" w:cstheme="minorHAnsi"/>
          <w:szCs w:val="20"/>
        </w:rPr>
        <w:t>z wyświetlaczem min. 10’ wraz z nieograniczonymi czasowo licencjami na oprogramowanie.</w:t>
      </w:r>
    </w:p>
    <w:p w:rsidR="00EA38B2" w:rsidRPr="00925A43" w:rsidRDefault="00847184" w:rsidP="00256614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Wymagany okres gwarancji na system i urządzenia SSO – minimum </w:t>
      </w:r>
      <w:r w:rsidRPr="00925A43">
        <w:rPr>
          <w:rFonts w:asciiTheme="minorHAnsi" w:hAnsiTheme="minorHAnsi" w:cstheme="minorHAnsi"/>
          <w:b/>
          <w:szCs w:val="20"/>
        </w:rPr>
        <w:t>5 lat</w:t>
      </w:r>
      <w:r w:rsidR="00BD53F6" w:rsidRPr="00925A43">
        <w:rPr>
          <w:rFonts w:asciiTheme="minorHAnsi" w:hAnsiTheme="minorHAnsi" w:cstheme="minorHAnsi"/>
          <w:b/>
          <w:szCs w:val="20"/>
        </w:rPr>
        <w:t>.</w:t>
      </w:r>
    </w:p>
    <w:p w:rsidR="00EA38B2" w:rsidRDefault="00EA38B2">
      <w:pPr>
        <w:widowControl/>
        <w:ind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:rsidR="00953087" w:rsidRPr="005F7B93" w:rsidRDefault="00A35684" w:rsidP="00953087">
      <w:pPr>
        <w:pStyle w:val="Nagwek3"/>
      </w:pPr>
      <w:bookmarkStart w:id="22" w:name="_Toc47560278"/>
      <w:r w:rsidRPr="005F7B93">
        <w:lastRenderedPageBreak/>
        <w:t>Minimalne parametry</w:t>
      </w:r>
      <w:r w:rsidR="00A11A35" w:rsidRPr="005F7B93">
        <w:t xml:space="preserve"> techniczne elementów (SSO)</w:t>
      </w:r>
      <w:bookmarkEnd w:id="22"/>
    </w:p>
    <w:p w:rsidR="00030CF0" w:rsidRPr="005F7B93" w:rsidRDefault="00030CF0" w:rsidP="00030CF0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 xml:space="preserve">Tab. 5. </w:t>
      </w:r>
      <w:r w:rsidR="00A35684" w:rsidRPr="005F7B93">
        <w:rPr>
          <w:rFonts w:asciiTheme="minorHAnsi" w:hAnsiTheme="minorHAnsi" w:cstheme="minorHAnsi"/>
          <w:sz w:val="20"/>
          <w:szCs w:val="20"/>
        </w:rPr>
        <w:t>Minimalne parametry techniczne s</w:t>
      </w:r>
      <w:r w:rsidRPr="005F7B93">
        <w:rPr>
          <w:rFonts w:asciiTheme="minorHAnsi" w:hAnsiTheme="minorHAnsi" w:cstheme="minorHAnsi"/>
          <w:sz w:val="20"/>
          <w:szCs w:val="20"/>
        </w:rPr>
        <w:t>terownika SSO</w:t>
      </w:r>
    </w:p>
    <w:tbl>
      <w:tblPr>
        <w:tblStyle w:val="Tabela-Siatka"/>
        <w:tblW w:w="0" w:type="auto"/>
        <w:tblLook w:val="04A0"/>
      </w:tblPr>
      <w:tblGrid>
        <w:gridCol w:w="2830"/>
        <w:gridCol w:w="6232"/>
      </w:tblGrid>
      <w:tr w:rsidR="005F7B93" w:rsidRPr="005F7B93" w:rsidTr="003340FE">
        <w:tc>
          <w:tcPr>
            <w:tcW w:w="2830" w:type="dxa"/>
            <w:shd w:val="clear" w:color="auto" w:fill="auto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6232" w:type="dxa"/>
            <w:shd w:val="clear" w:color="auto" w:fill="auto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</w:tc>
      </w:tr>
      <w:tr w:rsidR="005F7B93" w:rsidRPr="005F7B93" w:rsidTr="003340FE">
        <w:tc>
          <w:tcPr>
            <w:tcW w:w="2830" w:type="dxa"/>
            <w:shd w:val="clear" w:color="auto" w:fill="FFFF00"/>
          </w:tcPr>
          <w:p w:rsidR="003340FE" w:rsidRPr="005F7B93" w:rsidRDefault="003340FE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FFFF00"/>
          </w:tcPr>
          <w:p w:rsidR="003340FE" w:rsidRPr="005F7B93" w:rsidRDefault="003340FE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9V do 48V DC lub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(IEEE802.3af,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2) 4W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Przechowywanie danych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Wyjmowana karta SD (w zestawie)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Obudowa do montażu na szynie DIN (DIN43880 / EN60715. Szerokość 8 modułów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Odzyskiwanie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Sprzętowy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watchdog</w:t>
            </w:r>
            <w:proofErr w:type="spellEnd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oraz przycisk resetowania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Ethernet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Gniazdo RJ45 dla Ethernet 10 / 100Base-TX z diodami LED Link / Data; Stały adres IP lub DHCP; Podwójny adres IP dla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eDMX</w:t>
            </w:r>
            <w:proofErr w:type="spellEnd"/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DMX512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Izolowany port DMX, USITT E1.11-2008 kompatybilny z RDM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RDM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Wykrywanie i adresowanie za pomocą dedykowanego oprogramowania</w:t>
            </w:r>
          </w:p>
        </w:tc>
      </w:tr>
      <w:tr w:rsidR="005F7B93" w:rsidRPr="00EA375C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Art-Net</w:t>
            </w: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Art-Net, Art-Net 2, Art-Net 3, Art-Net 4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szeregowy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RS232 / RS485 / DMX in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Wejścia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Osiem wejść, indywidualnie wybierany tryb pracy dla zamknięcia styków, wejście cyfrowe lub analogowe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MIDI In &amp; Out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MIDI przez 5-pinowe gniazdo DIN 41524</w:t>
            </w:r>
          </w:p>
        </w:tc>
      </w:tr>
      <w:tr w:rsidR="005F7B93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USB-B gniazdo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USB 1.1 do podłączenia do komputera</w:t>
            </w:r>
          </w:p>
        </w:tc>
      </w:tr>
      <w:tr w:rsidR="00030CF0" w:rsidRPr="005F7B93" w:rsidTr="00030CF0">
        <w:tc>
          <w:tcPr>
            <w:tcW w:w="2830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Temperatura pracy</w:t>
            </w:r>
          </w:p>
        </w:tc>
        <w:tc>
          <w:tcPr>
            <w:tcW w:w="6232" w:type="dxa"/>
          </w:tcPr>
          <w:p w:rsidR="00030CF0" w:rsidRPr="005F7B93" w:rsidRDefault="00030CF0" w:rsidP="00030CF0">
            <w:pPr>
              <w:spacing w:after="200" w:line="276" w:lineRule="auto"/>
              <w:ind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0°C do 50°C</w:t>
            </w:r>
          </w:p>
        </w:tc>
      </w:tr>
    </w:tbl>
    <w:p w:rsidR="00D76E54" w:rsidRPr="005F7B93" w:rsidRDefault="00D76E54" w:rsidP="00030CF0">
      <w:pPr>
        <w:rPr>
          <w:rFonts w:asciiTheme="minorHAnsi" w:hAnsiTheme="minorHAnsi" w:cstheme="minorHAnsi"/>
          <w:sz w:val="20"/>
          <w:szCs w:val="20"/>
        </w:rPr>
      </w:pPr>
    </w:p>
    <w:p w:rsidR="00030CF0" w:rsidRPr="005F7B93" w:rsidRDefault="00030CF0" w:rsidP="00030CF0">
      <w:pPr>
        <w:rPr>
          <w:rFonts w:asciiTheme="minorHAnsi" w:hAnsiTheme="minorHAnsi" w:cstheme="minorHAnsi"/>
          <w:sz w:val="20"/>
          <w:szCs w:val="20"/>
        </w:rPr>
      </w:pPr>
      <w:r w:rsidRPr="005F7B93">
        <w:rPr>
          <w:rFonts w:asciiTheme="minorHAnsi" w:hAnsiTheme="minorHAnsi" w:cstheme="minorHAnsi"/>
          <w:sz w:val="20"/>
          <w:szCs w:val="20"/>
        </w:rPr>
        <w:t xml:space="preserve">Tab. 6. </w:t>
      </w:r>
      <w:r w:rsidR="00A35684" w:rsidRPr="005F7B93">
        <w:rPr>
          <w:rFonts w:asciiTheme="minorHAnsi" w:hAnsiTheme="minorHAnsi" w:cstheme="minorHAnsi"/>
          <w:sz w:val="20"/>
          <w:szCs w:val="20"/>
        </w:rPr>
        <w:t>Minimalne parametry techniczne</w:t>
      </w:r>
      <w:r w:rsidRPr="005F7B93">
        <w:rPr>
          <w:rFonts w:asciiTheme="minorHAnsi" w:hAnsiTheme="minorHAnsi" w:cstheme="minorHAnsi"/>
          <w:sz w:val="20"/>
          <w:szCs w:val="20"/>
        </w:rPr>
        <w:t xml:space="preserve"> panelu dotykowego (TPS)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5F7B93" w:rsidRPr="005F7B93" w:rsidTr="003340FE">
        <w:tc>
          <w:tcPr>
            <w:tcW w:w="2689" w:type="dxa"/>
            <w:shd w:val="clear" w:color="auto" w:fill="auto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6373" w:type="dxa"/>
            <w:shd w:val="clear" w:color="auto" w:fill="auto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</w:tc>
      </w:tr>
      <w:tr w:rsidR="005F7B93" w:rsidRPr="005F7B93" w:rsidTr="003340FE">
        <w:tc>
          <w:tcPr>
            <w:tcW w:w="2689" w:type="dxa"/>
            <w:shd w:val="clear" w:color="auto" w:fill="FFFF00"/>
          </w:tcPr>
          <w:p w:rsidR="003340FE" w:rsidRPr="005F7B93" w:rsidRDefault="003340FE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3" w:type="dxa"/>
            <w:shd w:val="clear" w:color="auto" w:fill="FFFF00"/>
          </w:tcPr>
          <w:p w:rsidR="003340FE" w:rsidRPr="005F7B93" w:rsidRDefault="003340FE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B93" w:rsidRPr="00EA375C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 (IEEE802.3af, Class 2) 4W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Przechowywanie danych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Wyjmowana karta SD (w zestawie)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Naścienny, częściowo wpuszczony (podwójna puszka w standardzie brytyjskim)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Odzyskiwanie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Sprzętowy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watchdog</w:t>
            </w:r>
            <w:proofErr w:type="spellEnd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 oraz przycisk resetowania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Interfejs Ethernet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 xml:space="preserve">Gniazdo RJ45 dla Ethernet 10 / 100Base-TX z diodami LED Link / Data; Stały adres IP lub DHCP; Podwójny adres IP dla </w:t>
            </w:r>
            <w:proofErr w:type="spellStart"/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eDMX</w:t>
            </w:r>
            <w:proofErr w:type="spellEnd"/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Panel dotykowy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4,3” pojemnościowy, dotykowy; 480×272 24bpp; 340 cd/m2; nakładka magnetyczna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Wilgotność</w:t>
            </w:r>
          </w:p>
        </w:tc>
        <w:tc>
          <w:tcPr>
            <w:tcW w:w="6373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Względna 10-50%, bez kondensacji</w:t>
            </w:r>
          </w:p>
        </w:tc>
      </w:tr>
      <w:tr w:rsidR="005F7B93" w:rsidRPr="005F7B93" w:rsidTr="00030CF0">
        <w:tc>
          <w:tcPr>
            <w:tcW w:w="2689" w:type="dxa"/>
          </w:tcPr>
          <w:p w:rsidR="00030CF0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Temperatura pracy</w:t>
            </w:r>
          </w:p>
        </w:tc>
        <w:tc>
          <w:tcPr>
            <w:tcW w:w="6373" w:type="dxa"/>
          </w:tcPr>
          <w:p w:rsidR="00847184" w:rsidRPr="005F7B93" w:rsidRDefault="00030CF0" w:rsidP="00030CF0">
            <w:pPr>
              <w:spacing w:after="20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B93">
              <w:rPr>
                <w:rFonts w:asciiTheme="minorHAnsi" w:hAnsiTheme="minorHAnsi" w:cstheme="minorHAnsi"/>
                <w:sz w:val="20"/>
                <w:szCs w:val="20"/>
              </w:rPr>
              <w:t>0°C do 50°C</w:t>
            </w:r>
          </w:p>
        </w:tc>
      </w:tr>
    </w:tbl>
    <w:p w:rsidR="00030CF0" w:rsidRPr="005F7B93" w:rsidRDefault="00893681" w:rsidP="00A675E3">
      <w:pPr>
        <w:pStyle w:val="Nagwek2"/>
      </w:pPr>
      <w:bookmarkStart w:id="23" w:name="_Toc47560279"/>
      <w:r w:rsidRPr="005F7B93">
        <w:t>Minimalne w</w:t>
      </w:r>
      <w:r w:rsidR="00030CF0" w:rsidRPr="005F7B93">
        <w:t>ymagania dotyczące instalacji elektrycznych</w:t>
      </w:r>
      <w:bookmarkEnd w:id="23"/>
    </w:p>
    <w:p w:rsidR="000A0376" w:rsidRPr="005F7B93" w:rsidRDefault="000A0376" w:rsidP="000A0376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Wykonanie projektu wykonawczego i warsztatowego (rzut rozmieszczenia opraw oświetleniowych, detal montażu opraw oświetleniowych, trasy kablowe, schematy strukturalne rozdzielnic elektrycznych, obliczenia techniczne) oraz na jego podstawie, robót wchodzących w zakres Przedmiotu Zamówienia,</w:t>
      </w:r>
      <w:r w:rsidR="00265855" w:rsidRPr="005F7B93">
        <w:rPr>
          <w:rFonts w:asciiTheme="minorHAnsi" w:hAnsiTheme="minorHAnsi" w:cstheme="minorHAnsi"/>
        </w:rPr>
        <w:t xml:space="preserve"> z </w:t>
      </w:r>
      <w:r w:rsidRPr="005F7B93">
        <w:rPr>
          <w:rFonts w:asciiTheme="minorHAnsi" w:hAnsiTheme="minorHAnsi" w:cstheme="minorHAnsi"/>
        </w:rPr>
        <w:t>zachowaniem norm branżowych i standardów jakościowych odnosz</w:t>
      </w:r>
      <w:r w:rsidR="00265855" w:rsidRPr="005F7B93">
        <w:rPr>
          <w:rFonts w:asciiTheme="minorHAnsi" w:hAnsiTheme="minorHAnsi" w:cstheme="minorHAnsi"/>
        </w:rPr>
        <w:t>ących się do tego typu robót, w </w:t>
      </w:r>
      <w:r w:rsidRPr="005F7B93">
        <w:rPr>
          <w:rFonts w:asciiTheme="minorHAnsi" w:hAnsiTheme="minorHAnsi" w:cstheme="minorHAnsi"/>
        </w:rPr>
        <w:t xml:space="preserve">sposób zgodny z przepisami prawa, a w szczególności ustawy z dnia 7 lipca 1994 r. - Prawo budowlane oraz przepisami wykonawczymi wydanymi na jej podstawie oraz innymi powszechnie obowiązującymi przepisami prawa, w tym przepisami </w:t>
      </w:r>
      <w:proofErr w:type="spellStart"/>
      <w:r w:rsidRPr="005F7B93">
        <w:rPr>
          <w:rFonts w:asciiTheme="minorHAnsi" w:hAnsiTheme="minorHAnsi" w:cstheme="minorHAnsi"/>
        </w:rPr>
        <w:t>BHiP</w:t>
      </w:r>
      <w:proofErr w:type="spellEnd"/>
      <w:r w:rsidRPr="005F7B93">
        <w:rPr>
          <w:rFonts w:asciiTheme="minorHAnsi" w:hAnsiTheme="minorHAnsi" w:cstheme="minorHAnsi"/>
        </w:rPr>
        <w:t xml:space="preserve"> i </w:t>
      </w:r>
      <w:r w:rsidR="00546B38" w:rsidRPr="005F7B93">
        <w:rPr>
          <w:rFonts w:asciiTheme="minorHAnsi" w:hAnsiTheme="minorHAnsi" w:cstheme="minorHAnsi"/>
        </w:rPr>
        <w:t xml:space="preserve">p. </w:t>
      </w:r>
      <w:proofErr w:type="spellStart"/>
      <w:r w:rsidR="00546B38" w:rsidRPr="005F7B93">
        <w:rPr>
          <w:rFonts w:asciiTheme="minorHAnsi" w:hAnsiTheme="minorHAnsi" w:cstheme="minorHAnsi"/>
        </w:rPr>
        <w:t>poż</w:t>
      </w:r>
      <w:proofErr w:type="spellEnd"/>
      <w:r w:rsidRPr="005F7B93">
        <w:rPr>
          <w:rFonts w:asciiTheme="minorHAnsi" w:hAnsiTheme="minorHAnsi" w:cstheme="minorHAnsi"/>
        </w:rPr>
        <w:t>. i zgodnie z ustaleniami zawartymi w SIWZ.</w:t>
      </w:r>
    </w:p>
    <w:p w:rsidR="000A0376" w:rsidRPr="005F7B93" w:rsidRDefault="000A0376" w:rsidP="000A0376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Projekt wykonawczy i warsztatowy musi być zaakceptowany pisemnie przez Zamawiającego przed rozpoczęciem prac wchodzących w zakres </w:t>
      </w:r>
      <w:r w:rsidR="00BD53F6">
        <w:rPr>
          <w:rFonts w:asciiTheme="minorHAnsi" w:hAnsiTheme="minorHAnsi" w:cstheme="minorHAnsi"/>
        </w:rPr>
        <w:t>P</w:t>
      </w:r>
      <w:r w:rsidRPr="005F7B93">
        <w:rPr>
          <w:rFonts w:asciiTheme="minorHAnsi" w:hAnsiTheme="minorHAnsi" w:cstheme="minorHAnsi"/>
        </w:rPr>
        <w:t xml:space="preserve">rzedmiotu </w:t>
      </w:r>
      <w:r w:rsidR="00BD53F6">
        <w:rPr>
          <w:rFonts w:asciiTheme="minorHAnsi" w:hAnsiTheme="minorHAnsi" w:cstheme="minorHAnsi"/>
        </w:rPr>
        <w:t>Zamówienia</w:t>
      </w:r>
      <w:r w:rsidRPr="005F7B93">
        <w:rPr>
          <w:rFonts w:asciiTheme="minorHAnsi" w:hAnsiTheme="minorHAnsi" w:cstheme="minorHAnsi"/>
        </w:rPr>
        <w:t>.</w:t>
      </w:r>
    </w:p>
    <w:p w:rsidR="000A0376" w:rsidRPr="005F7B93" w:rsidRDefault="000A0376" w:rsidP="000A0376">
      <w:pPr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Projekt wykonawczy instalacji elektrycznych musi zawierać:</w:t>
      </w:r>
    </w:p>
    <w:p w:rsidR="000A0376" w:rsidRPr="005F7B93" w:rsidRDefault="000A0376" w:rsidP="002C4A34">
      <w:pPr>
        <w:pStyle w:val="Akapitzlist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Obliczenia techniczne:</w:t>
      </w:r>
    </w:p>
    <w:p w:rsidR="000A0376" w:rsidRPr="005F7B93" w:rsidRDefault="000A0376" w:rsidP="002C4A34">
      <w:pPr>
        <w:pStyle w:val="Akapitzlist"/>
        <w:numPr>
          <w:ilvl w:val="0"/>
          <w:numId w:val="19"/>
        </w:numPr>
        <w:ind w:left="1843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Bilans mocy i spadki napięć</w:t>
      </w:r>
    </w:p>
    <w:p w:rsidR="000A0376" w:rsidRPr="005F7B93" w:rsidRDefault="000A0376" w:rsidP="002C4A34">
      <w:pPr>
        <w:pStyle w:val="Akapitzlist"/>
        <w:numPr>
          <w:ilvl w:val="0"/>
          <w:numId w:val="19"/>
        </w:numPr>
        <w:ind w:left="1843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Dobór kabli i zabezpieczeń</w:t>
      </w:r>
    </w:p>
    <w:p w:rsidR="000A0376" w:rsidRPr="005F7B93" w:rsidRDefault="000A0376" w:rsidP="002C4A34">
      <w:pPr>
        <w:pStyle w:val="Akapitzlist"/>
        <w:numPr>
          <w:ilvl w:val="0"/>
          <w:numId w:val="19"/>
        </w:numPr>
        <w:ind w:left="1843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Obliczenia prądów zwarciowych i ochrony przeciwporażeniowej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Rzut z rozmieszczeniem opraw oświetleniowych</w:t>
      </w:r>
    </w:p>
    <w:p w:rsidR="00836040" w:rsidRPr="005F7B93" w:rsidRDefault="00836040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Rzut z planem boiska z powiązaniem punktów celowania opraw z adresami systemu sterowania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Detal montażu opraw oświetleniowych</w:t>
      </w:r>
      <w:r w:rsidR="00DB6215">
        <w:rPr>
          <w:rFonts w:asciiTheme="minorHAnsi" w:hAnsiTheme="minorHAnsi" w:cstheme="minorHAnsi"/>
        </w:rPr>
        <w:t>. Sposó</w:t>
      </w:r>
      <w:r w:rsidR="00847184">
        <w:rPr>
          <w:rFonts w:asciiTheme="minorHAnsi" w:hAnsiTheme="minorHAnsi" w:cstheme="minorHAnsi"/>
        </w:rPr>
        <w:t>b</w:t>
      </w:r>
      <w:r w:rsidR="00DB6215">
        <w:rPr>
          <w:rFonts w:asciiTheme="minorHAnsi" w:hAnsiTheme="minorHAnsi" w:cstheme="minorHAnsi"/>
        </w:rPr>
        <w:t xml:space="preserve"> montażu do </w:t>
      </w:r>
      <w:r w:rsidR="00847184">
        <w:rPr>
          <w:rFonts w:asciiTheme="minorHAnsi" w:hAnsiTheme="minorHAnsi" w:cstheme="minorHAnsi"/>
        </w:rPr>
        <w:t>konstrukcji stalowej dachu nie może powodować uszkodzenia jej powłoki antykorozyjnej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Rzut z lokalizacją rozdzielnic elektrycznych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Rzut z trasami kablowymi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Rozbudowę lub ewentualną modernizację istniejących rozdzielnic elektrycznych odpowiedzialnych za zasilanie oświetlenia płyty boiska w przypadku ich zmian projektowych (schemat strukturalny rozdzielnic elektrycznych wraz z widokiem rozmieszczenia aparatury)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Zestawienie materiałów elektrycznych do demontażu, protokolarne przekazanie Zamawiającemu elementów zdemontowanych</w:t>
      </w:r>
    </w:p>
    <w:p w:rsidR="000A0376" w:rsidRPr="005F7B93" w:rsidRDefault="000A0376" w:rsidP="002C4A34">
      <w:pPr>
        <w:pStyle w:val="Akapitzlist"/>
        <w:numPr>
          <w:ilvl w:val="0"/>
          <w:numId w:val="18"/>
        </w:numPr>
        <w:ind w:left="1418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 xml:space="preserve">Zestawienie materiałów elektrycznych do montażu wraz z dokumentacją (atesty, certyfikaty, aprobaty techniczne, deklaracje zgodności, karty </w:t>
      </w:r>
      <w:r w:rsidR="00546B38" w:rsidRPr="005F7B93">
        <w:rPr>
          <w:rFonts w:asciiTheme="minorHAnsi" w:hAnsiTheme="minorHAnsi" w:cstheme="minorHAnsi"/>
        </w:rPr>
        <w:t>techniczne itp.</w:t>
      </w:r>
      <w:r w:rsidRPr="005F7B93">
        <w:rPr>
          <w:rFonts w:asciiTheme="minorHAnsi" w:hAnsiTheme="minorHAnsi" w:cstheme="minorHAnsi"/>
        </w:rPr>
        <w:t>)</w:t>
      </w:r>
    </w:p>
    <w:p w:rsidR="00BD53F6" w:rsidRDefault="00BD53F6" w:rsidP="00BD53F6">
      <w:pPr>
        <w:pStyle w:val="Akapitzlist"/>
        <w:ind w:left="1418" w:firstLine="0"/>
        <w:contextualSpacing/>
        <w:rPr>
          <w:rFonts w:asciiTheme="minorHAnsi" w:hAnsiTheme="minorHAnsi" w:cstheme="minorHAnsi"/>
        </w:rPr>
      </w:pPr>
    </w:p>
    <w:p w:rsidR="000A0376" w:rsidRPr="005F7B93" w:rsidRDefault="000A0376" w:rsidP="00637607">
      <w:pPr>
        <w:pStyle w:val="Akapitzlist"/>
        <w:tabs>
          <w:tab w:val="left" w:pos="0"/>
        </w:tabs>
        <w:ind w:left="0" w:firstLine="0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System sterowania musi umożliwiać załączanie oświetlenia w sposób minimalizujący powstawanie pików energetycznych</w:t>
      </w:r>
      <w:r w:rsidR="00BD53F6">
        <w:rPr>
          <w:rFonts w:asciiTheme="minorHAnsi" w:hAnsiTheme="minorHAnsi" w:cstheme="minorHAnsi"/>
        </w:rPr>
        <w:t>.</w:t>
      </w:r>
    </w:p>
    <w:p w:rsidR="00836040" w:rsidRPr="005F7B93" w:rsidRDefault="000A0376" w:rsidP="00637607">
      <w:pPr>
        <w:pStyle w:val="Akapitzlist"/>
        <w:tabs>
          <w:tab w:val="left" w:pos="0"/>
        </w:tabs>
        <w:ind w:left="0" w:firstLine="0"/>
        <w:contextualSpacing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Wszystkie stosowane w obiekcie kable i przewody muszą być miedziane</w:t>
      </w:r>
      <w:r w:rsidR="00BD53F6">
        <w:rPr>
          <w:rFonts w:asciiTheme="minorHAnsi" w:hAnsiTheme="minorHAnsi" w:cstheme="minorHAnsi"/>
        </w:rPr>
        <w:t>.</w:t>
      </w:r>
    </w:p>
    <w:p w:rsidR="00953087" w:rsidRPr="005F7B93" w:rsidRDefault="000A0376" w:rsidP="00637607">
      <w:pPr>
        <w:pStyle w:val="Akapitzlist"/>
        <w:tabs>
          <w:tab w:val="left" w:pos="0"/>
        </w:tabs>
        <w:ind w:left="0" w:firstLine="0"/>
        <w:rPr>
          <w:rFonts w:asciiTheme="minorHAnsi" w:hAnsiTheme="minorHAnsi" w:cstheme="minorHAnsi"/>
        </w:rPr>
      </w:pPr>
      <w:r w:rsidRPr="005F7B93">
        <w:rPr>
          <w:rFonts w:asciiTheme="minorHAnsi" w:hAnsiTheme="minorHAnsi" w:cstheme="minorHAnsi"/>
        </w:rPr>
        <w:t>Wszystkie projekty przed przekazaniem do realizacji należy uzgodnić z Zamawiającym</w:t>
      </w:r>
      <w:r w:rsidR="00BD53F6">
        <w:rPr>
          <w:rFonts w:asciiTheme="minorHAnsi" w:hAnsiTheme="minorHAnsi" w:cstheme="minorHAnsi"/>
        </w:rPr>
        <w:t>.</w:t>
      </w:r>
    </w:p>
    <w:p w:rsidR="00893681" w:rsidRDefault="00893681" w:rsidP="00637607">
      <w:pPr>
        <w:tabs>
          <w:tab w:val="left" w:pos="0"/>
        </w:tabs>
        <w:ind w:firstLine="0"/>
        <w:rPr>
          <w:rFonts w:asciiTheme="minorHAnsi" w:hAnsiTheme="minorHAnsi" w:cstheme="minorHAnsi"/>
        </w:rPr>
      </w:pPr>
      <w:r w:rsidRPr="00BD53F6">
        <w:rPr>
          <w:rFonts w:asciiTheme="minorHAnsi" w:hAnsiTheme="minorHAnsi" w:cstheme="minorHAnsi"/>
        </w:rPr>
        <w:t xml:space="preserve">Gwarancja na wykonanie </w:t>
      </w:r>
      <w:r w:rsidR="003B2935" w:rsidRPr="00BD53F6">
        <w:rPr>
          <w:rFonts w:asciiTheme="minorHAnsi" w:hAnsiTheme="minorHAnsi" w:cstheme="minorHAnsi"/>
        </w:rPr>
        <w:t xml:space="preserve">instalacji elektrycznych  - </w:t>
      </w:r>
      <w:r w:rsidRPr="00BD53F6">
        <w:rPr>
          <w:rFonts w:asciiTheme="minorHAnsi" w:hAnsiTheme="minorHAnsi" w:cstheme="minorHAnsi"/>
        </w:rPr>
        <w:t xml:space="preserve">minimum </w:t>
      </w:r>
      <w:r w:rsidR="00F134A9">
        <w:rPr>
          <w:rFonts w:asciiTheme="minorHAnsi" w:hAnsiTheme="minorHAnsi" w:cstheme="minorHAnsi"/>
          <w:b/>
        </w:rPr>
        <w:t>3</w:t>
      </w:r>
      <w:r w:rsidR="00F134A9" w:rsidRPr="00925A43">
        <w:rPr>
          <w:rFonts w:asciiTheme="minorHAnsi" w:hAnsiTheme="minorHAnsi" w:cstheme="minorHAnsi"/>
          <w:b/>
        </w:rPr>
        <w:t xml:space="preserve"> </w:t>
      </w:r>
      <w:r w:rsidRPr="00925A43">
        <w:rPr>
          <w:rFonts w:asciiTheme="minorHAnsi" w:hAnsiTheme="minorHAnsi" w:cstheme="minorHAnsi"/>
          <w:b/>
        </w:rPr>
        <w:t>lat</w:t>
      </w:r>
      <w:r w:rsidR="00346F4A">
        <w:rPr>
          <w:rFonts w:asciiTheme="minorHAnsi" w:hAnsiTheme="minorHAnsi" w:cstheme="minorHAnsi"/>
        </w:rPr>
        <w:t>a.</w:t>
      </w:r>
    </w:p>
    <w:p w:rsidR="00A675E3" w:rsidRDefault="00A675E3" w:rsidP="00637607">
      <w:pPr>
        <w:tabs>
          <w:tab w:val="left" w:pos="0"/>
        </w:tabs>
        <w:ind w:firstLine="0"/>
        <w:rPr>
          <w:rFonts w:asciiTheme="minorHAnsi" w:hAnsiTheme="minorHAnsi" w:cstheme="minorHAnsi"/>
        </w:rPr>
      </w:pPr>
    </w:p>
    <w:p w:rsidR="00A675E3" w:rsidRPr="00A675E3" w:rsidRDefault="00A675E3" w:rsidP="00A675E3">
      <w:pPr>
        <w:pStyle w:val="Nagwek2"/>
      </w:pPr>
      <w:r w:rsidRPr="00A675E3">
        <w:t>Wymagania dotyczące sposobu prowadzenia prac</w:t>
      </w:r>
    </w:p>
    <w:p w:rsidR="005C2D2F" w:rsidRDefault="00A675E3" w:rsidP="00A675E3">
      <w:pPr>
        <w:rPr>
          <w:rFonts w:asciiTheme="minorHAnsi" w:hAnsiTheme="minorHAnsi" w:cstheme="minorHAnsi"/>
        </w:rPr>
      </w:pPr>
      <w:r w:rsidRPr="00A675E3">
        <w:rPr>
          <w:rFonts w:asciiTheme="minorHAnsi" w:hAnsiTheme="minorHAnsi" w:cstheme="minorHAnsi"/>
        </w:rPr>
        <w:t xml:space="preserve">Do montażu i serwisu opraw Zamawiający dopuszcza zastosowanie podnośników koszowych. W przypadku konieczności przejazdu lub czasowego ustawienia podnośnika na murawie naturalnej Stadionu należy zastosować, w celu ochrony murawy, aluminiowe panele zabezpieczające (Arena </w:t>
      </w:r>
      <w:proofErr w:type="spellStart"/>
      <w:r w:rsidRPr="00A675E3">
        <w:rPr>
          <w:rFonts w:asciiTheme="minorHAnsi" w:hAnsiTheme="minorHAnsi" w:cstheme="minorHAnsi"/>
        </w:rPr>
        <w:t>Panels</w:t>
      </w:r>
      <w:proofErr w:type="spellEnd"/>
      <w:r w:rsidRPr="00A675E3">
        <w:rPr>
          <w:rFonts w:asciiTheme="minorHAnsi" w:hAnsiTheme="minorHAnsi" w:cstheme="minorHAnsi"/>
        </w:rPr>
        <w:t xml:space="preserve"> o wymiarze 2m x 3m, lub równoważne). Maksymalny czas przebywania panelu na murawie:   </w:t>
      </w:r>
      <w:r w:rsidR="009F6011">
        <w:rPr>
          <w:rFonts w:asciiTheme="minorHAnsi" w:hAnsiTheme="minorHAnsi" w:cstheme="minorHAnsi"/>
        </w:rPr>
        <w:t xml:space="preserve">3 godziny, z zastrzeżeniem, iż panele usuwane są z murawy natychmiast po zakończeniu prac z ich udziałem, natomiast minimalna przerwa pomiędzy zastosowaniem panelu w jednym miejscu musi wynieść nie mniej niż 3 godziny. Każdy inny wariant zastosowania paneli – po uzgodnieniu </w:t>
      </w:r>
      <w:r w:rsidR="00744B9E">
        <w:rPr>
          <w:rFonts w:asciiTheme="minorHAnsi" w:hAnsiTheme="minorHAnsi" w:cstheme="minorHAnsi"/>
        </w:rPr>
        <w:br/>
      </w:r>
      <w:r w:rsidR="009F6011">
        <w:rPr>
          <w:rFonts w:asciiTheme="minorHAnsi" w:hAnsiTheme="minorHAnsi" w:cstheme="minorHAnsi"/>
        </w:rPr>
        <w:t>z Zamawiającym w trakcie prowadzenia prac.</w:t>
      </w:r>
      <w:r w:rsidR="005C2D2F">
        <w:rPr>
          <w:rFonts w:asciiTheme="minorHAnsi" w:hAnsiTheme="minorHAnsi" w:cstheme="minorHAnsi"/>
        </w:rPr>
        <w:t xml:space="preserve"> </w:t>
      </w:r>
    </w:p>
    <w:p w:rsidR="00A675E3" w:rsidRPr="00A675E3" w:rsidRDefault="009F6011" w:rsidP="00A675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</w:t>
      </w:r>
    </w:p>
    <w:p w:rsidR="005B54A9" w:rsidRPr="005F7B93" w:rsidRDefault="005B54A9" w:rsidP="00A675E3">
      <w:pPr>
        <w:pStyle w:val="Nagwek2"/>
      </w:pPr>
      <w:bookmarkStart w:id="24" w:name="_Toc47560280"/>
      <w:r w:rsidRPr="005F7B93">
        <w:t>Spis Załączników</w:t>
      </w:r>
      <w:bookmarkEnd w:id="24"/>
    </w:p>
    <w:p w:rsidR="005B54A9" w:rsidRPr="00A675E3" w:rsidRDefault="005B54A9" w:rsidP="005B54A9">
      <w:pPr>
        <w:rPr>
          <w:rFonts w:asciiTheme="minorHAnsi" w:hAnsiTheme="minorHAnsi" w:cstheme="minorHAnsi"/>
        </w:rPr>
      </w:pPr>
      <w:r w:rsidRPr="00A675E3">
        <w:rPr>
          <w:rFonts w:asciiTheme="minorHAnsi" w:hAnsiTheme="minorHAnsi" w:cstheme="minorHAnsi"/>
        </w:rPr>
        <w:t>Załącznik 1</w:t>
      </w:r>
      <w:r w:rsidR="00757000">
        <w:rPr>
          <w:rFonts w:asciiTheme="minorHAnsi" w:hAnsiTheme="minorHAnsi" w:cstheme="minorHAnsi"/>
        </w:rPr>
        <w:t>.1</w:t>
      </w:r>
      <w:r w:rsidRPr="00A675E3">
        <w:rPr>
          <w:rFonts w:asciiTheme="minorHAnsi" w:hAnsiTheme="minorHAnsi" w:cstheme="minorHAnsi"/>
        </w:rPr>
        <w:t xml:space="preserve">: </w:t>
      </w:r>
      <w:r w:rsidR="00FD04F3">
        <w:rPr>
          <w:rFonts w:asciiTheme="minorHAnsi" w:hAnsiTheme="minorHAnsi" w:cstheme="minorHAnsi"/>
        </w:rPr>
        <w:t xml:space="preserve"> </w:t>
      </w:r>
      <w:r w:rsidR="004959FD" w:rsidRPr="00A675E3">
        <w:rPr>
          <w:rFonts w:asciiTheme="minorHAnsi" w:hAnsiTheme="minorHAnsi" w:cstheme="minorHAnsi"/>
        </w:rPr>
        <w:t>projekt istniejącego oświetlenia</w:t>
      </w:r>
    </w:p>
    <w:p w:rsidR="005B54A9" w:rsidRPr="00A675E3" w:rsidRDefault="005B54A9" w:rsidP="005B54A9">
      <w:pPr>
        <w:rPr>
          <w:rFonts w:asciiTheme="minorHAnsi" w:hAnsiTheme="minorHAnsi" w:cstheme="minorHAnsi"/>
        </w:rPr>
      </w:pPr>
      <w:r w:rsidRPr="00A675E3">
        <w:rPr>
          <w:rFonts w:asciiTheme="minorHAnsi" w:hAnsiTheme="minorHAnsi" w:cstheme="minorHAnsi"/>
        </w:rPr>
        <w:t xml:space="preserve">Załącznik </w:t>
      </w:r>
      <w:r w:rsidR="00FD04F3">
        <w:rPr>
          <w:rFonts w:asciiTheme="minorHAnsi" w:hAnsiTheme="minorHAnsi" w:cstheme="minorHAnsi"/>
        </w:rPr>
        <w:t>1.</w:t>
      </w:r>
      <w:r w:rsidRPr="00A675E3">
        <w:rPr>
          <w:rFonts w:asciiTheme="minorHAnsi" w:hAnsiTheme="minorHAnsi" w:cstheme="minorHAnsi"/>
        </w:rPr>
        <w:t xml:space="preserve">2: </w:t>
      </w:r>
      <w:r w:rsidR="00FD04F3">
        <w:rPr>
          <w:rFonts w:asciiTheme="minorHAnsi" w:hAnsiTheme="minorHAnsi" w:cstheme="minorHAnsi"/>
        </w:rPr>
        <w:t xml:space="preserve"> </w:t>
      </w:r>
      <w:r w:rsidR="004959FD" w:rsidRPr="00A675E3">
        <w:rPr>
          <w:rFonts w:asciiTheme="minorHAnsi" w:hAnsiTheme="minorHAnsi" w:cstheme="minorHAnsi"/>
        </w:rPr>
        <w:t>pomiary natężenia oświetlenia</w:t>
      </w:r>
    </w:p>
    <w:p w:rsidR="005B54A9" w:rsidRPr="00A675E3" w:rsidRDefault="005B54A9" w:rsidP="005B54A9">
      <w:pPr>
        <w:rPr>
          <w:rFonts w:asciiTheme="minorHAnsi" w:hAnsiTheme="minorHAnsi" w:cstheme="minorHAnsi"/>
        </w:rPr>
      </w:pPr>
      <w:r w:rsidRPr="00A675E3">
        <w:rPr>
          <w:rFonts w:asciiTheme="minorHAnsi" w:hAnsiTheme="minorHAnsi" w:cstheme="minorHAnsi"/>
        </w:rPr>
        <w:t xml:space="preserve">Załącznik </w:t>
      </w:r>
      <w:r w:rsidR="00FD04F3">
        <w:rPr>
          <w:rFonts w:asciiTheme="minorHAnsi" w:hAnsiTheme="minorHAnsi" w:cstheme="minorHAnsi"/>
        </w:rPr>
        <w:t>1.</w:t>
      </w:r>
      <w:r w:rsidRPr="00A675E3">
        <w:rPr>
          <w:rFonts w:asciiTheme="minorHAnsi" w:hAnsiTheme="minorHAnsi" w:cstheme="minorHAnsi"/>
        </w:rPr>
        <w:t xml:space="preserve">3: </w:t>
      </w:r>
      <w:r w:rsidR="00FD04F3">
        <w:rPr>
          <w:rFonts w:asciiTheme="minorHAnsi" w:hAnsiTheme="minorHAnsi" w:cstheme="minorHAnsi"/>
        </w:rPr>
        <w:t xml:space="preserve"> </w:t>
      </w:r>
      <w:r w:rsidR="004959FD" w:rsidRPr="00A675E3">
        <w:rPr>
          <w:rFonts w:asciiTheme="minorHAnsi" w:hAnsiTheme="minorHAnsi" w:cstheme="minorHAnsi"/>
        </w:rPr>
        <w:t>rzut opraw oświetleniowych</w:t>
      </w:r>
    </w:p>
    <w:p w:rsidR="005B54A9" w:rsidRPr="00A675E3" w:rsidRDefault="005B54A9" w:rsidP="005B54A9">
      <w:pPr>
        <w:rPr>
          <w:rFonts w:asciiTheme="minorHAnsi" w:hAnsiTheme="minorHAnsi" w:cstheme="minorHAnsi"/>
        </w:rPr>
      </w:pPr>
      <w:r w:rsidRPr="00A675E3">
        <w:rPr>
          <w:rFonts w:asciiTheme="minorHAnsi" w:hAnsiTheme="minorHAnsi" w:cstheme="minorHAnsi"/>
        </w:rPr>
        <w:t xml:space="preserve">Załącznik </w:t>
      </w:r>
      <w:r w:rsidR="00FD04F3">
        <w:rPr>
          <w:rFonts w:asciiTheme="minorHAnsi" w:hAnsiTheme="minorHAnsi" w:cstheme="minorHAnsi"/>
        </w:rPr>
        <w:t>1.</w:t>
      </w:r>
      <w:r w:rsidRPr="00A675E3">
        <w:rPr>
          <w:rFonts w:asciiTheme="minorHAnsi" w:hAnsiTheme="minorHAnsi" w:cstheme="minorHAnsi"/>
        </w:rPr>
        <w:t xml:space="preserve">4: </w:t>
      </w:r>
      <w:r w:rsidR="00FD04F3">
        <w:rPr>
          <w:rFonts w:asciiTheme="minorHAnsi" w:hAnsiTheme="minorHAnsi" w:cstheme="minorHAnsi"/>
        </w:rPr>
        <w:t xml:space="preserve"> </w:t>
      </w:r>
      <w:r w:rsidR="004959FD" w:rsidRPr="00A675E3">
        <w:rPr>
          <w:rFonts w:asciiTheme="minorHAnsi" w:hAnsiTheme="minorHAnsi" w:cstheme="minorHAnsi"/>
        </w:rPr>
        <w:t>lokalizacja rozdzielnic elektrycznych</w:t>
      </w:r>
    </w:p>
    <w:p w:rsidR="00A65223" w:rsidRPr="00A675E3" w:rsidRDefault="00A65223" w:rsidP="005B54A9">
      <w:pPr>
        <w:rPr>
          <w:rFonts w:asciiTheme="minorHAnsi" w:hAnsiTheme="minorHAnsi" w:cstheme="minorHAnsi"/>
        </w:rPr>
      </w:pPr>
      <w:r w:rsidRPr="00A675E3">
        <w:rPr>
          <w:rFonts w:asciiTheme="minorHAnsi" w:hAnsiTheme="minorHAnsi" w:cstheme="minorHAnsi"/>
        </w:rPr>
        <w:t xml:space="preserve">Załącznik </w:t>
      </w:r>
      <w:r w:rsidR="00FD04F3">
        <w:rPr>
          <w:rFonts w:asciiTheme="minorHAnsi" w:hAnsiTheme="minorHAnsi" w:cstheme="minorHAnsi"/>
        </w:rPr>
        <w:t>1.</w:t>
      </w:r>
      <w:r w:rsidRPr="00A675E3">
        <w:rPr>
          <w:rFonts w:asciiTheme="minorHAnsi" w:hAnsiTheme="minorHAnsi" w:cstheme="minorHAnsi"/>
        </w:rPr>
        <w:t xml:space="preserve">5: </w:t>
      </w:r>
      <w:r w:rsidR="00FD04F3">
        <w:rPr>
          <w:rFonts w:asciiTheme="minorHAnsi" w:hAnsiTheme="minorHAnsi" w:cstheme="minorHAnsi"/>
        </w:rPr>
        <w:t xml:space="preserve"> </w:t>
      </w:r>
      <w:r w:rsidRPr="00A675E3">
        <w:rPr>
          <w:rFonts w:asciiTheme="minorHAnsi" w:hAnsiTheme="minorHAnsi" w:cstheme="minorHAnsi"/>
        </w:rPr>
        <w:t>listy kablowe</w:t>
      </w:r>
    </w:p>
    <w:p w:rsidR="000A0376" w:rsidRPr="005F7B93" w:rsidRDefault="000A0376">
      <w:pPr>
        <w:ind w:left="567" w:firstLine="0"/>
        <w:rPr>
          <w:rFonts w:asciiTheme="minorHAnsi" w:hAnsiTheme="minorHAnsi" w:cstheme="minorHAnsi"/>
        </w:rPr>
      </w:pPr>
    </w:p>
    <w:sectPr w:rsidR="000A0376" w:rsidRPr="005F7B93" w:rsidSect="00F11DEC">
      <w:headerReference w:type="default" r:id="rId8"/>
      <w:footerReference w:type="default" r:id="rId9"/>
      <w:type w:val="continuous"/>
      <w:pgSz w:w="11906" w:h="16838" w:code="9"/>
      <w:pgMar w:top="1134" w:right="1133" w:bottom="1134" w:left="1418" w:header="28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30" w:rsidRDefault="00171830" w:rsidP="00D4354B">
      <w:r>
        <w:separator/>
      </w:r>
    </w:p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/>
  </w:endnote>
  <w:endnote w:type="continuationSeparator" w:id="0">
    <w:p w:rsidR="00171830" w:rsidRDefault="00171830" w:rsidP="00D4354B">
      <w:r>
        <w:continuationSeparator/>
      </w:r>
    </w:p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DIN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sch Office Sans">
    <w:altName w:val="Arial"/>
    <w:charset w:val="EE"/>
    <w:family w:val="swiss"/>
    <w:pitch w:val="variable"/>
    <w:sig w:usb0="A00002FF" w:usb1="0000E0D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580471"/>
      <w:docPartObj>
        <w:docPartGallery w:val="Page Numbers (Bottom of Page)"/>
        <w:docPartUnique/>
      </w:docPartObj>
    </w:sdtPr>
    <w:sdtContent>
      <w:p w:rsidR="0017410A" w:rsidRDefault="008B36F3">
        <w:pPr>
          <w:pStyle w:val="Stopka"/>
          <w:jc w:val="right"/>
        </w:pPr>
        <w:fldSimple w:instr="PAGE   \* MERGEFORMAT">
          <w:r w:rsidR="00EA375C">
            <w:rPr>
              <w:noProof/>
            </w:rPr>
            <w:t>3</w:t>
          </w:r>
        </w:fldSimple>
      </w:p>
    </w:sdtContent>
  </w:sdt>
  <w:p w:rsidR="0017410A" w:rsidRPr="001316A4" w:rsidRDefault="0017410A" w:rsidP="00131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30" w:rsidRDefault="00171830" w:rsidP="00D4354B">
      <w:r>
        <w:separator/>
      </w:r>
    </w:p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/>
  </w:footnote>
  <w:footnote w:type="continuationSeparator" w:id="0">
    <w:p w:rsidR="00171830" w:rsidRDefault="00171830" w:rsidP="00D4354B">
      <w:r>
        <w:continuationSeparator/>
      </w:r>
    </w:p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 w:rsidP="00D4354B"/>
    <w:p w:rsidR="00171830" w:rsidRDefault="001718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0A" w:rsidRDefault="0017410A">
    <w:pPr>
      <w:pStyle w:val="Nagwek"/>
      <w:rPr>
        <w:rFonts w:asciiTheme="minorHAnsi" w:hAnsiTheme="minorHAnsi" w:cstheme="minorHAnsi"/>
      </w:rPr>
    </w:pPr>
  </w:p>
  <w:p w:rsidR="0017410A" w:rsidRPr="00DE0446" w:rsidRDefault="0017410A">
    <w:pPr>
      <w:pStyle w:val="Nagwek"/>
      <w:rPr>
        <w:rFonts w:asciiTheme="minorHAnsi" w:hAnsiTheme="minorHAnsi" w:cstheme="minorHAnsi"/>
      </w:rPr>
    </w:pPr>
    <w:r w:rsidRPr="00DE0446">
      <w:rPr>
        <w:rFonts w:asciiTheme="minorHAnsi" w:hAnsiTheme="minorHAnsi" w:cstheme="minorHAnsi"/>
      </w:rPr>
      <w:t>Opis przedmiotu zamówienia dla zadania: „Modernizacja oświetlenia płyty boiska Stadionu Wrocław</w:t>
    </w:r>
    <w:r>
      <w:rPr>
        <w:rFonts w:asciiTheme="minorHAnsi" w:hAnsiTheme="minorHAnsi" w:cstheme="minorHAnsi"/>
      </w:rPr>
      <w:t xml:space="preserve"> we Wrocławiu” (znak postępowania: STADION WROCŁAW – 8/PN/2020)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6.2"/>
      <w:lvlJc w:val="left"/>
      <w:pPr>
        <w:tabs>
          <w:tab w:val="num" w:pos="1152"/>
        </w:tabs>
        <w:ind w:left="1152" w:hanging="432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multilevel"/>
    <w:tmpl w:val="00000011"/>
    <w:name w:val="WW8StyleNum"/>
    <w:lvl w:ilvl="0">
      <w:numFmt w:val="decimal"/>
      <w:pStyle w:val="Tekstpodstawowywcity2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46F58EF"/>
    <w:multiLevelType w:val="hybridMultilevel"/>
    <w:tmpl w:val="C0FAAF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C64866"/>
    <w:multiLevelType w:val="hybridMultilevel"/>
    <w:tmpl w:val="5CCA0EB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AC024F"/>
    <w:multiLevelType w:val="hybridMultilevel"/>
    <w:tmpl w:val="99222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F2412B"/>
    <w:multiLevelType w:val="hybridMultilevel"/>
    <w:tmpl w:val="A7DC2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0520BE"/>
    <w:multiLevelType w:val="hybridMultilevel"/>
    <w:tmpl w:val="824E8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71667A"/>
    <w:multiLevelType w:val="multilevel"/>
    <w:tmpl w:val="2E64309E"/>
    <w:lvl w:ilvl="0">
      <w:start w:val="1"/>
      <w:numFmt w:val="decimal"/>
      <w:pStyle w:val="Nagwek1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0306E32"/>
    <w:multiLevelType w:val="hybridMultilevel"/>
    <w:tmpl w:val="C4A2F408"/>
    <w:lvl w:ilvl="0" w:tplc="9574EAEC">
      <w:start w:val="1"/>
      <w:numFmt w:val="bullet"/>
      <w:pStyle w:val="Wypunktowanie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871BCB"/>
    <w:multiLevelType w:val="hybridMultilevel"/>
    <w:tmpl w:val="7336547C"/>
    <w:lvl w:ilvl="0" w:tplc="04150001">
      <w:start w:val="1"/>
      <w:numFmt w:val="bullet"/>
      <w:pStyle w:val="Wypunktowanie3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42B7C"/>
    <w:multiLevelType w:val="hybridMultilevel"/>
    <w:tmpl w:val="C55003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FE0824"/>
    <w:multiLevelType w:val="multilevel"/>
    <w:tmpl w:val="E364FFB4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2F9D"/>
    <w:multiLevelType w:val="hybridMultilevel"/>
    <w:tmpl w:val="111A7F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FD6E92"/>
    <w:multiLevelType w:val="hybridMultilevel"/>
    <w:tmpl w:val="33F841D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6661157"/>
    <w:multiLevelType w:val="hybridMultilevel"/>
    <w:tmpl w:val="E332B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3A6B60"/>
    <w:multiLevelType w:val="hybridMultilevel"/>
    <w:tmpl w:val="61684094"/>
    <w:lvl w:ilvl="0" w:tplc="405A35F0">
      <w:start w:val="1"/>
      <w:numFmt w:val="bullet"/>
      <w:pStyle w:val="StylWyjustowanyInterliniaWielokrotne11wrs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0C0AB5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9CE5E2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586DF6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ED0338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D50082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50A1D6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37A901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0043BF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A574EAF"/>
    <w:multiLevelType w:val="multilevel"/>
    <w:tmpl w:val="72B86D82"/>
    <w:styleLink w:val="Boschconceptions"/>
    <w:lvl w:ilvl="0">
      <w:start w:val="1"/>
      <w:numFmt w:val="bullet"/>
      <w:lvlText w:val="▶"/>
      <w:lvlJc w:val="left"/>
      <w:pPr>
        <w:ind w:left="284" w:firstLine="0"/>
      </w:pPr>
      <w:rPr>
        <w:rFonts w:ascii="MS Gothic" w:eastAsia="MS Gothic" w:hAnsi="MS Gothic" w:hint="eastAsia"/>
        <w:color w:val="auto"/>
      </w:rPr>
    </w:lvl>
    <w:lvl w:ilvl="1">
      <w:start w:val="1"/>
      <w:numFmt w:val="bullet"/>
      <w:lvlText w:val=""/>
      <w:lvlJc w:val="left"/>
      <w:pPr>
        <w:ind w:left="567" w:firstLine="1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1724" w:hanging="360"/>
      </w:pPr>
      <w:rPr>
        <w:rFonts w:ascii="Times New Roman" w:hAnsi="Times New Roman" w:hint="default"/>
      </w:rPr>
    </w:lvl>
    <w:lvl w:ilvl="3">
      <w:start w:val="1"/>
      <w:numFmt w:val="none"/>
      <w:lvlText w:val="%4"/>
      <w:lvlJc w:val="left"/>
      <w:pPr>
        <w:ind w:left="2084" w:hanging="360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84" w:hanging="360"/>
      </w:pPr>
      <w:rPr>
        <w:rFonts w:ascii="Symbol" w:hAnsi="Symbol" w:hint="default"/>
      </w:rPr>
    </w:lvl>
  </w:abstractNum>
  <w:abstractNum w:abstractNumId="21">
    <w:nsid w:val="72BD7A4D"/>
    <w:multiLevelType w:val="hybridMultilevel"/>
    <w:tmpl w:val="3F8C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C05F0"/>
    <w:multiLevelType w:val="hybridMultilevel"/>
    <w:tmpl w:val="F9F497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D86259"/>
    <w:multiLevelType w:val="hybridMultilevel"/>
    <w:tmpl w:val="5FE43B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BFE19B3"/>
    <w:multiLevelType w:val="hybridMultilevel"/>
    <w:tmpl w:val="3080E6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9B0D08"/>
    <w:multiLevelType w:val="hybridMultilevel"/>
    <w:tmpl w:val="2E2CD18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2"/>
  </w:num>
  <w:num w:numId="5">
    <w:abstractNumId w:val="4"/>
  </w:num>
  <w:num w:numId="6">
    <w:abstractNumId w:val="20"/>
  </w:num>
  <w:num w:numId="7">
    <w:abstractNumId w:val="9"/>
  </w:num>
  <w:num w:numId="8">
    <w:abstractNumId w:val="24"/>
  </w:num>
  <w:num w:numId="9">
    <w:abstractNumId w:val="14"/>
  </w:num>
  <w:num w:numId="10">
    <w:abstractNumId w:val="8"/>
  </w:num>
  <w:num w:numId="11">
    <w:abstractNumId w:val="22"/>
  </w:num>
  <w:num w:numId="12">
    <w:abstractNumId w:val="16"/>
  </w:num>
  <w:num w:numId="13">
    <w:abstractNumId w:val="25"/>
  </w:num>
  <w:num w:numId="14">
    <w:abstractNumId w:val="23"/>
  </w:num>
  <w:num w:numId="15">
    <w:abstractNumId w:val="21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18"/>
  </w:num>
  <w:num w:numId="21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14CB8"/>
    <w:rsid w:val="0000074C"/>
    <w:rsid w:val="00002AF3"/>
    <w:rsid w:val="000052D9"/>
    <w:rsid w:val="00006103"/>
    <w:rsid w:val="00012BC8"/>
    <w:rsid w:val="00013626"/>
    <w:rsid w:val="00013C20"/>
    <w:rsid w:val="00017943"/>
    <w:rsid w:val="0002319F"/>
    <w:rsid w:val="00030CF0"/>
    <w:rsid w:val="00031AA6"/>
    <w:rsid w:val="000366BC"/>
    <w:rsid w:val="00041921"/>
    <w:rsid w:val="000440BC"/>
    <w:rsid w:val="000443EE"/>
    <w:rsid w:val="0004476B"/>
    <w:rsid w:val="000463EA"/>
    <w:rsid w:val="000468B5"/>
    <w:rsid w:val="00047E45"/>
    <w:rsid w:val="00050E40"/>
    <w:rsid w:val="000525BA"/>
    <w:rsid w:val="0005365E"/>
    <w:rsid w:val="000538ED"/>
    <w:rsid w:val="00056131"/>
    <w:rsid w:val="00057F75"/>
    <w:rsid w:val="00062ADD"/>
    <w:rsid w:val="00063BDB"/>
    <w:rsid w:val="00063DF1"/>
    <w:rsid w:val="00070281"/>
    <w:rsid w:val="000725E7"/>
    <w:rsid w:val="00074179"/>
    <w:rsid w:val="0008168A"/>
    <w:rsid w:val="000831F3"/>
    <w:rsid w:val="000845BA"/>
    <w:rsid w:val="00084655"/>
    <w:rsid w:val="000961A4"/>
    <w:rsid w:val="000A0376"/>
    <w:rsid w:val="000A0E66"/>
    <w:rsid w:val="000A22C2"/>
    <w:rsid w:val="000A3E4B"/>
    <w:rsid w:val="000B00EA"/>
    <w:rsid w:val="000B098A"/>
    <w:rsid w:val="000B1274"/>
    <w:rsid w:val="000B50B8"/>
    <w:rsid w:val="000B5CBB"/>
    <w:rsid w:val="000C035A"/>
    <w:rsid w:val="000C204C"/>
    <w:rsid w:val="000D004B"/>
    <w:rsid w:val="000D1B31"/>
    <w:rsid w:val="000D202D"/>
    <w:rsid w:val="000D4884"/>
    <w:rsid w:val="000D54CE"/>
    <w:rsid w:val="000D6DE0"/>
    <w:rsid w:val="000E0654"/>
    <w:rsid w:val="000E17AA"/>
    <w:rsid w:val="000E34DD"/>
    <w:rsid w:val="000E4C24"/>
    <w:rsid w:val="000E5714"/>
    <w:rsid w:val="000E68A7"/>
    <w:rsid w:val="000E6BE7"/>
    <w:rsid w:val="000E6F65"/>
    <w:rsid w:val="000F3BCB"/>
    <w:rsid w:val="000F41A2"/>
    <w:rsid w:val="000F6F6B"/>
    <w:rsid w:val="0010153C"/>
    <w:rsid w:val="00102EBB"/>
    <w:rsid w:val="00105F13"/>
    <w:rsid w:val="0010689B"/>
    <w:rsid w:val="001108B2"/>
    <w:rsid w:val="00111FE6"/>
    <w:rsid w:val="001131BC"/>
    <w:rsid w:val="001139D7"/>
    <w:rsid w:val="00113BE1"/>
    <w:rsid w:val="001143F5"/>
    <w:rsid w:val="00114F74"/>
    <w:rsid w:val="0012117B"/>
    <w:rsid w:val="0012558E"/>
    <w:rsid w:val="001259EE"/>
    <w:rsid w:val="00125CED"/>
    <w:rsid w:val="001316A4"/>
    <w:rsid w:val="0013445E"/>
    <w:rsid w:val="00136BCE"/>
    <w:rsid w:val="00137D46"/>
    <w:rsid w:val="001411C2"/>
    <w:rsid w:val="0014131E"/>
    <w:rsid w:val="00143C9D"/>
    <w:rsid w:val="001448D2"/>
    <w:rsid w:val="00146163"/>
    <w:rsid w:val="00151E09"/>
    <w:rsid w:val="0015251B"/>
    <w:rsid w:val="00155913"/>
    <w:rsid w:val="00160FA6"/>
    <w:rsid w:val="0016123B"/>
    <w:rsid w:val="0016296B"/>
    <w:rsid w:val="00163C3F"/>
    <w:rsid w:val="00165415"/>
    <w:rsid w:val="00165999"/>
    <w:rsid w:val="00167376"/>
    <w:rsid w:val="001674AE"/>
    <w:rsid w:val="001705B5"/>
    <w:rsid w:val="00171337"/>
    <w:rsid w:val="00171830"/>
    <w:rsid w:val="0017410A"/>
    <w:rsid w:val="00181833"/>
    <w:rsid w:val="00192E39"/>
    <w:rsid w:val="001947A2"/>
    <w:rsid w:val="00194E49"/>
    <w:rsid w:val="00196EB6"/>
    <w:rsid w:val="00197441"/>
    <w:rsid w:val="001A07CD"/>
    <w:rsid w:val="001A430A"/>
    <w:rsid w:val="001B1CCB"/>
    <w:rsid w:val="001B4A6C"/>
    <w:rsid w:val="001B7365"/>
    <w:rsid w:val="001B78E3"/>
    <w:rsid w:val="001C5BBD"/>
    <w:rsid w:val="001C7BD3"/>
    <w:rsid w:val="001D35FC"/>
    <w:rsid w:val="001D430B"/>
    <w:rsid w:val="001D5111"/>
    <w:rsid w:val="001D7721"/>
    <w:rsid w:val="001E1AF5"/>
    <w:rsid w:val="001E237C"/>
    <w:rsid w:val="001E4F49"/>
    <w:rsid w:val="001E5C62"/>
    <w:rsid w:val="001F1A26"/>
    <w:rsid w:val="001F218B"/>
    <w:rsid w:val="001F44E2"/>
    <w:rsid w:val="001F48E7"/>
    <w:rsid w:val="00204568"/>
    <w:rsid w:val="00205B45"/>
    <w:rsid w:val="002061FD"/>
    <w:rsid w:val="002073BC"/>
    <w:rsid w:val="00211048"/>
    <w:rsid w:val="00215991"/>
    <w:rsid w:val="0021670D"/>
    <w:rsid w:val="00221F51"/>
    <w:rsid w:val="00225019"/>
    <w:rsid w:val="00225814"/>
    <w:rsid w:val="00226223"/>
    <w:rsid w:val="002262AA"/>
    <w:rsid w:val="0022747B"/>
    <w:rsid w:val="00227CBD"/>
    <w:rsid w:val="00232D59"/>
    <w:rsid w:val="00233CFC"/>
    <w:rsid w:val="00236380"/>
    <w:rsid w:val="0024110C"/>
    <w:rsid w:val="00245BAD"/>
    <w:rsid w:val="00246DBE"/>
    <w:rsid w:val="00251C28"/>
    <w:rsid w:val="00253619"/>
    <w:rsid w:val="00256614"/>
    <w:rsid w:val="00257C24"/>
    <w:rsid w:val="0026155A"/>
    <w:rsid w:val="00262822"/>
    <w:rsid w:val="00264318"/>
    <w:rsid w:val="00265855"/>
    <w:rsid w:val="0026619A"/>
    <w:rsid w:val="00267FD8"/>
    <w:rsid w:val="002727BF"/>
    <w:rsid w:val="00275196"/>
    <w:rsid w:val="00276460"/>
    <w:rsid w:val="00285255"/>
    <w:rsid w:val="00296EB8"/>
    <w:rsid w:val="002A2A2D"/>
    <w:rsid w:val="002A3153"/>
    <w:rsid w:val="002B26D3"/>
    <w:rsid w:val="002B4A4E"/>
    <w:rsid w:val="002B56A0"/>
    <w:rsid w:val="002B6E53"/>
    <w:rsid w:val="002C1E29"/>
    <w:rsid w:val="002C4A34"/>
    <w:rsid w:val="002C4DE2"/>
    <w:rsid w:val="002C7F3F"/>
    <w:rsid w:val="002D13F0"/>
    <w:rsid w:val="002D50CA"/>
    <w:rsid w:val="002D52E5"/>
    <w:rsid w:val="002D6C69"/>
    <w:rsid w:val="002E0443"/>
    <w:rsid w:val="002E22CB"/>
    <w:rsid w:val="002E54E7"/>
    <w:rsid w:val="002E7EDB"/>
    <w:rsid w:val="002F3241"/>
    <w:rsid w:val="002F5610"/>
    <w:rsid w:val="00305894"/>
    <w:rsid w:val="00307C7B"/>
    <w:rsid w:val="003103AE"/>
    <w:rsid w:val="00312C2C"/>
    <w:rsid w:val="003134BE"/>
    <w:rsid w:val="00313E83"/>
    <w:rsid w:val="00314CB8"/>
    <w:rsid w:val="00317070"/>
    <w:rsid w:val="003215A4"/>
    <w:rsid w:val="0032583A"/>
    <w:rsid w:val="00327AD6"/>
    <w:rsid w:val="003340FE"/>
    <w:rsid w:val="0033682B"/>
    <w:rsid w:val="00346F4A"/>
    <w:rsid w:val="00347637"/>
    <w:rsid w:val="00350924"/>
    <w:rsid w:val="003528CD"/>
    <w:rsid w:val="00353A77"/>
    <w:rsid w:val="003540B4"/>
    <w:rsid w:val="00354801"/>
    <w:rsid w:val="00355A7B"/>
    <w:rsid w:val="003578D1"/>
    <w:rsid w:val="00363555"/>
    <w:rsid w:val="003640B1"/>
    <w:rsid w:val="00366C1E"/>
    <w:rsid w:val="003674CC"/>
    <w:rsid w:val="00370C0A"/>
    <w:rsid w:val="00372A4A"/>
    <w:rsid w:val="00372BC2"/>
    <w:rsid w:val="00373421"/>
    <w:rsid w:val="003772C5"/>
    <w:rsid w:val="00382415"/>
    <w:rsid w:val="00385903"/>
    <w:rsid w:val="00385CBC"/>
    <w:rsid w:val="00385D13"/>
    <w:rsid w:val="00386752"/>
    <w:rsid w:val="00386BE2"/>
    <w:rsid w:val="003978A5"/>
    <w:rsid w:val="00397955"/>
    <w:rsid w:val="003A0B1D"/>
    <w:rsid w:val="003A1F2E"/>
    <w:rsid w:val="003A25AB"/>
    <w:rsid w:val="003A6888"/>
    <w:rsid w:val="003B2862"/>
    <w:rsid w:val="003B2935"/>
    <w:rsid w:val="003B616F"/>
    <w:rsid w:val="003C17DD"/>
    <w:rsid w:val="003C1C98"/>
    <w:rsid w:val="003C3406"/>
    <w:rsid w:val="003C5EB1"/>
    <w:rsid w:val="003D582B"/>
    <w:rsid w:val="003D6939"/>
    <w:rsid w:val="003E00BE"/>
    <w:rsid w:val="003E3AB2"/>
    <w:rsid w:val="003E3FAC"/>
    <w:rsid w:val="003E472A"/>
    <w:rsid w:val="003E6A27"/>
    <w:rsid w:val="003F064B"/>
    <w:rsid w:val="003F2905"/>
    <w:rsid w:val="003F437A"/>
    <w:rsid w:val="003F7041"/>
    <w:rsid w:val="004033E0"/>
    <w:rsid w:val="00404F0E"/>
    <w:rsid w:val="00410818"/>
    <w:rsid w:val="00411F28"/>
    <w:rsid w:val="0041433D"/>
    <w:rsid w:val="00415558"/>
    <w:rsid w:val="00416190"/>
    <w:rsid w:val="0041718F"/>
    <w:rsid w:val="00420C4A"/>
    <w:rsid w:val="00421D50"/>
    <w:rsid w:val="00422F28"/>
    <w:rsid w:val="0042334B"/>
    <w:rsid w:val="00423A25"/>
    <w:rsid w:val="00425C9A"/>
    <w:rsid w:val="004301FE"/>
    <w:rsid w:val="00432388"/>
    <w:rsid w:val="004328FF"/>
    <w:rsid w:val="0043367B"/>
    <w:rsid w:val="00435828"/>
    <w:rsid w:val="00441247"/>
    <w:rsid w:val="00442764"/>
    <w:rsid w:val="0044526B"/>
    <w:rsid w:val="004452F9"/>
    <w:rsid w:val="004632B1"/>
    <w:rsid w:val="004656B3"/>
    <w:rsid w:val="00466839"/>
    <w:rsid w:val="00467D9C"/>
    <w:rsid w:val="004709AF"/>
    <w:rsid w:val="00473270"/>
    <w:rsid w:val="00474231"/>
    <w:rsid w:val="00475B65"/>
    <w:rsid w:val="00480B2D"/>
    <w:rsid w:val="004860D4"/>
    <w:rsid w:val="0049146F"/>
    <w:rsid w:val="004932CE"/>
    <w:rsid w:val="004937C2"/>
    <w:rsid w:val="00494C45"/>
    <w:rsid w:val="00495733"/>
    <w:rsid w:val="004959FD"/>
    <w:rsid w:val="00495B9B"/>
    <w:rsid w:val="004963D4"/>
    <w:rsid w:val="004971D6"/>
    <w:rsid w:val="00497E23"/>
    <w:rsid w:val="004A2AAD"/>
    <w:rsid w:val="004A4BDE"/>
    <w:rsid w:val="004A792F"/>
    <w:rsid w:val="004B080C"/>
    <w:rsid w:val="004B0DD7"/>
    <w:rsid w:val="004B2274"/>
    <w:rsid w:val="004B3724"/>
    <w:rsid w:val="004B395C"/>
    <w:rsid w:val="004B48A3"/>
    <w:rsid w:val="004C24AA"/>
    <w:rsid w:val="004C40BA"/>
    <w:rsid w:val="004D3479"/>
    <w:rsid w:val="004D4FBE"/>
    <w:rsid w:val="004D5E77"/>
    <w:rsid w:val="004D611C"/>
    <w:rsid w:val="004D69C0"/>
    <w:rsid w:val="004D71D0"/>
    <w:rsid w:val="004E19F2"/>
    <w:rsid w:val="004E4035"/>
    <w:rsid w:val="004E6E8E"/>
    <w:rsid w:val="004F3945"/>
    <w:rsid w:val="004F474A"/>
    <w:rsid w:val="004F5D60"/>
    <w:rsid w:val="004F652B"/>
    <w:rsid w:val="005034D2"/>
    <w:rsid w:val="00505D01"/>
    <w:rsid w:val="0051357E"/>
    <w:rsid w:val="0051361D"/>
    <w:rsid w:val="00514516"/>
    <w:rsid w:val="00520732"/>
    <w:rsid w:val="0052217A"/>
    <w:rsid w:val="005273DA"/>
    <w:rsid w:val="00532D68"/>
    <w:rsid w:val="00535BC4"/>
    <w:rsid w:val="00540567"/>
    <w:rsid w:val="005407CC"/>
    <w:rsid w:val="005428D3"/>
    <w:rsid w:val="00545970"/>
    <w:rsid w:val="00546B38"/>
    <w:rsid w:val="00550CCB"/>
    <w:rsid w:val="00555DE6"/>
    <w:rsid w:val="00556C90"/>
    <w:rsid w:val="005672F0"/>
    <w:rsid w:val="005712B5"/>
    <w:rsid w:val="005729AE"/>
    <w:rsid w:val="00572C88"/>
    <w:rsid w:val="005742FC"/>
    <w:rsid w:val="00574761"/>
    <w:rsid w:val="00574AA7"/>
    <w:rsid w:val="00580486"/>
    <w:rsid w:val="00583A61"/>
    <w:rsid w:val="00586A51"/>
    <w:rsid w:val="00594795"/>
    <w:rsid w:val="00595BED"/>
    <w:rsid w:val="00596FEF"/>
    <w:rsid w:val="005A118D"/>
    <w:rsid w:val="005A160F"/>
    <w:rsid w:val="005A16F5"/>
    <w:rsid w:val="005A550B"/>
    <w:rsid w:val="005B3C0D"/>
    <w:rsid w:val="005B3C57"/>
    <w:rsid w:val="005B4E5C"/>
    <w:rsid w:val="005B54A9"/>
    <w:rsid w:val="005C20A7"/>
    <w:rsid w:val="005C2D2F"/>
    <w:rsid w:val="005C3288"/>
    <w:rsid w:val="005C3540"/>
    <w:rsid w:val="005C582E"/>
    <w:rsid w:val="005D420F"/>
    <w:rsid w:val="005D4E61"/>
    <w:rsid w:val="005D7B53"/>
    <w:rsid w:val="005E2F7F"/>
    <w:rsid w:val="005E3134"/>
    <w:rsid w:val="005E4175"/>
    <w:rsid w:val="005E50F1"/>
    <w:rsid w:val="005E6756"/>
    <w:rsid w:val="005F184D"/>
    <w:rsid w:val="005F2EB8"/>
    <w:rsid w:val="005F3BDB"/>
    <w:rsid w:val="005F4B7E"/>
    <w:rsid w:val="005F7B93"/>
    <w:rsid w:val="00605AFE"/>
    <w:rsid w:val="00607356"/>
    <w:rsid w:val="0061564D"/>
    <w:rsid w:val="00621715"/>
    <w:rsid w:val="0062215A"/>
    <w:rsid w:val="0062283B"/>
    <w:rsid w:val="00622A4F"/>
    <w:rsid w:val="00631515"/>
    <w:rsid w:val="00631F00"/>
    <w:rsid w:val="00633957"/>
    <w:rsid w:val="00634B48"/>
    <w:rsid w:val="00634B71"/>
    <w:rsid w:val="00637607"/>
    <w:rsid w:val="00643325"/>
    <w:rsid w:val="00643C80"/>
    <w:rsid w:val="00650C6D"/>
    <w:rsid w:val="00653A83"/>
    <w:rsid w:val="00654F65"/>
    <w:rsid w:val="006555D2"/>
    <w:rsid w:val="0065679F"/>
    <w:rsid w:val="00657A66"/>
    <w:rsid w:val="006644E8"/>
    <w:rsid w:val="00666796"/>
    <w:rsid w:val="006703D7"/>
    <w:rsid w:val="006715BC"/>
    <w:rsid w:val="006748A9"/>
    <w:rsid w:val="00675B12"/>
    <w:rsid w:val="00677F92"/>
    <w:rsid w:val="0068174D"/>
    <w:rsid w:val="00681F2C"/>
    <w:rsid w:val="00682477"/>
    <w:rsid w:val="00682703"/>
    <w:rsid w:val="00684CAD"/>
    <w:rsid w:val="006859BC"/>
    <w:rsid w:val="0068682F"/>
    <w:rsid w:val="00687688"/>
    <w:rsid w:val="00691889"/>
    <w:rsid w:val="00692460"/>
    <w:rsid w:val="00692D76"/>
    <w:rsid w:val="00696C05"/>
    <w:rsid w:val="00697552"/>
    <w:rsid w:val="006A248F"/>
    <w:rsid w:val="006A7549"/>
    <w:rsid w:val="006B31BB"/>
    <w:rsid w:val="006B44BF"/>
    <w:rsid w:val="006C139F"/>
    <w:rsid w:val="006C3D33"/>
    <w:rsid w:val="006C50EF"/>
    <w:rsid w:val="006C7F50"/>
    <w:rsid w:val="006D09D7"/>
    <w:rsid w:val="006D4499"/>
    <w:rsid w:val="006D5946"/>
    <w:rsid w:val="006D77BF"/>
    <w:rsid w:val="006E74D9"/>
    <w:rsid w:val="006E7B5D"/>
    <w:rsid w:val="006F00F4"/>
    <w:rsid w:val="006F12D9"/>
    <w:rsid w:val="006F1C0E"/>
    <w:rsid w:val="006F2B44"/>
    <w:rsid w:val="006F427A"/>
    <w:rsid w:val="006F6F9C"/>
    <w:rsid w:val="006F7637"/>
    <w:rsid w:val="00700636"/>
    <w:rsid w:val="00701180"/>
    <w:rsid w:val="0070183A"/>
    <w:rsid w:val="007032D3"/>
    <w:rsid w:val="00710701"/>
    <w:rsid w:val="00710EF8"/>
    <w:rsid w:val="00713BAD"/>
    <w:rsid w:val="00716CE6"/>
    <w:rsid w:val="00717678"/>
    <w:rsid w:val="007321E0"/>
    <w:rsid w:val="00734571"/>
    <w:rsid w:val="0073688B"/>
    <w:rsid w:val="0073782B"/>
    <w:rsid w:val="00742571"/>
    <w:rsid w:val="00743011"/>
    <w:rsid w:val="00744B9E"/>
    <w:rsid w:val="007463CF"/>
    <w:rsid w:val="007468EF"/>
    <w:rsid w:val="0075002C"/>
    <w:rsid w:val="007503BF"/>
    <w:rsid w:val="0075134B"/>
    <w:rsid w:val="007517CD"/>
    <w:rsid w:val="00755FBC"/>
    <w:rsid w:val="00756AA0"/>
    <w:rsid w:val="00756AC8"/>
    <w:rsid w:val="00757000"/>
    <w:rsid w:val="00761DE2"/>
    <w:rsid w:val="00772AD6"/>
    <w:rsid w:val="00772E8E"/>
    <w:rsid w:val="00774283"/>
    <w:rsid w:val="0077678C"/>
    <w:rsid w:val="00782E72"/>
    <w:rsid w:val="007849D7"/>
    <w:rsid w:val="0078599E"/>
    <w:rsid w:val="007924ED"/>
    <w:rsid w:val="00792B6C"/>
    <w:rsid w:val="00794325"/>
    <w:rsid w:val="00796DC8"/>
    <w:rsid w:val="007A09C6"/>
    <w:rsid w:val="007A1237"/>
    <w:rsid w:val="007A395B"/>
    <w:rsid w:val="007A64AE"/>
    <w:rsid w:val="007B26C7"/>
    <w:rsid w:val="007B4D30"/>
    <w:rsid w:val="007B6664"/>
    <w:rsid w:val="007B7A6C"/>
    <w:rsid w:val="007C5286"/>
    <w:rsid w:val="007C548B"/>
    <w:rsid w:val="007D186F"/>
    <w:rsid w:val="007D1A0D"/>
    <w:rsid w:val="007D3F3A"/>
    <w:rsid w:val="007E0393"/>
    <w:rsid w:val="007E0D07"/>
    <w:rsid w:val="007E1A8B"/>
    <w:rsid w:val="007E260E"/>
    <w:rsid w:val="007F2C3B"/>
    <w:rsid w:val="007F66F6"/>
    <w:rsid w:val="007F6881"/>
    <w:rsid w:val="00802C0C"/>
    <w:rsid w:val="00803A76"/>
    <w:rsid w:val="008042C4"/>
    <w:rsid w:val="008108C9"/>
    <w:rsid w:val="00810BDE"/>
    <w:rsid w:val="00813012"/>
    <w:rsid w:val="0081485D"/>
    <w:rsid w:val="00825F93"/>
    <w:rsid w:val="00827B6B"/>
    <w:rsid w:val="00830017"/>
    <w:rsid w:val="0083101A"/>
    <w:rsid w:val="008316F8"/>
    <w:rsid w:val="0083186C"/>
    <w:rsid w:val="008327B5"/>
    <w:rsid w:val="00833C3B"/>
    <w:rsid w:val="00836040"/>
    <w:rsid w:val="00842FE2"/>
    <w:rsid w:val="0084321E"/>
    <w:rsid w:val="00845D64"/>
    <w:rsid w:val="008461A8"/>
    <w:rsid w:val="00847184"/>
    <w:rsid w:val="00847318"/>
    <w:rsid w:val="00855688"/>
    <w:rsid w:val="0086264F"/>
    <w:rsid w:val="0086286E"/>
    <w:rsid w:val="008636A0"/>
    <w:rsid w:val="00864D45"/>
    <w:rsid w:val="0086584F"/>
    <w:rsid w:val="00865FD3"/>
    <w:rsid w:val="008675CE"/>
    <w:rsid w:val="008714B4"/>
    <w:rsid w:val="0087174B"/>
    <w:rsid w:val="00877644"/>
    <w:rsid w:val="00877A0B"/>
    <w:rsid w:val="00877DED"/>
    <w:rsid w:val="0088153D"/>
    <w:rsid w:val="00881550"/>
    <w:rsid w:val="00881743"/>
    <w:rsid w:val="00882F85"/>
    <w:rsid w:val="00882F9C"/>
    <w:rsid w:val="00884703"/>
    <w:rsid w:val="00886410"/>
    <w:rsid w:val="00887A22"/>
    <w:rsid w:val="00893681"/>
    <w:rsid w:val="00894CA5"/>
    <w:rsid w:val="00895D94"/>
    <w:rsid w:val="008971F5"/>
    <w:rsid w:val="008973BB"/>
    <w:rsid w:val="008979A3"/>
    <w:rsid w:val="00897BE0"/>
    <w:rsid w:val="008A0BD9"/>
    <w:rsid w:val="008A5869"/>
    <w:rsid w:val="008A5E2C"/>
    <w:rsid w:val="008A5ECA"/>
    <w:rsid w:val="008A7C11"/>
    <w:rsid w:val="008B2150"/>
    <w:rsid w:val="008B279D"/>
    <w:rsid w:val="008B36F3"/>
    <w:rsid w:val="008B3FE4"/>
    <w:rsid w:val="008B4233"/>
    <w:rsid w:val="008B44F9"/>
    <w:rsid w:val="008B5711"/>
    <w:rsid w:val="008B7063"/>
    <w:rsid w:val="008B7C6A"/>
    <w:rsid w:val="008C102A"/>
    <w:rsid w:val="008C5D19"/>
    <w:rsid w:val="008D3403"/>
    <w:rsid w:val="008D3991"/>
    <w:rsid w:val="008E0346"/>
    <w:rsid w:val="008E15CC"/>
    <w:rsid w:val="008E1794"/>
    <w:rsid w:val="008E3F51"/>
    <w:rsid w:val="008E74DC"/>
    <w:rsid w:val="008F1051"/>
    <w:rsid w:val="008F1F0B"/>
    <w:rsid w:val="008F30B1"/>
    <w:rsid w:val="008F6556"/>
    <w:rsid w:val="008F678A"/>
    <w:rsid w:val="008F76B1"/>
    <w:rsid w:val="009001AD"/>
    <w:rsid w:val="00900983"/>
    <w:rsid w:val="009012F7"/>
    <w:rsid w:val="009041AE"/>
    <w:rsid w:val="009078BB"/>
    <w:rsid w:val="009123F4"/>
    <w:rsid w:val="009142EC"/>
    <w:rsid w:val="00914A35"/>
    <w:rsid w:val="00920129"/>
    <w:rsid w:val="00920A39"/>
    <w:rsid w:val="00923C92"/>
    <w:rsid w:val="00924004"/>
    <w:rsid w:val="00925A43"/>
    <w:rsid w:val="009316FD"/>
    <w:rsid w:val="009337AE"/>
    <w:rsid w:val="0093494E"/>
    <w:rsid w:val="009352C3"/>
    <w:rsid w:val="009422B5"/>
    <w:rsid w:val="0094246F"/>
    <w:rsid w:val="00944A45"/>
    <w:rsid w:val="00946536"/>
    <w:rsid w:val="00947C7A"/>
    <w:rsid w:val="00953087"/>
    <w:rsid w:val="009531D5"/>
    <w:rsid w:val="00953F6F"/>
    <w:rsid w:val="009561D3"/>
    <w:rsid w:val="009628A1"/>
    <w:rsid w:val="00970B26"/>
    <w:rsid w:val="00972FB8"/>
    <w:rsid w:val="009744D3"/>
    <w:rsid w:val="0097524D"/>
    <w:rsid w:val="00976FA2"/>
    <w:rsid w:val="00983101"/>
    <w:rsid w:val="009859F5"/>
    <w:rsid w:val="00987A4D"/>
    <w:rsid w:val="00990CD2"/>
    <w:rsid w:val="00992F4B"/>
    <w:rsid w:val="0099366C"/>
    <w:rsid w:val="00993B6F"/>
    <w:rsid w:val="00993F8F"/>
    <w:rsid w:val="0099515E"/>
    <w:rsid w:val="009951A1"/>
    <w:rsid w:val="00995BB5"/>
    <w:rsid w:val="00997950"/>
    <w:rsid w:val="009A3F3E"/>
    <w:rsid w:val="009A4F9E"/>
    <w:rsid w:val="009B2F61"/>
    <w:rsid w:val="009B4D5B"/>
    <w:rsid w:val="009B5C92"/>
    <w:rsid w:val="009B5ECE"/>
    <w:rsid w:val="009B7EF7"/>
    <w:rsid w:val="009C3DF0"/>
    <w:rsid w:val="009D06E1"/>
    <w:rsid w:val="009D5CF6"/>
    <w:rsid w:val="009D6E88"/>
    <w:rsid w:val="009E232B"/>
    <w:rsid w:val="009E6634"/>
    <w:rsid w:val="009F1CD9"/>
    <w:rsid w:val="009F35F2"/>
    <w:rsid w:val="009F3C95"/>
    <w:rsid w:val="009F6011"/>
    <w:rsid w:val="00A00600"/>
    <w:rsid w:val="00A11A35"/>
    <w:rsid w:val="00A121A4"/>
    <w:rsid w:val="00A12C65"/>
    <w:rsid w:val="00A14D14"/>
    <w:rsid w:val="00A203F0"/>
    <w:rsid w:val="00A221D0"/>
    <w:rsid w:val="00A2299B"/>
    <w:rsid w:val="00A23509"/>
    <w:rsid w:val="00A27156"/>
    <w:rsid w:val="00A30CBB"/>
    <w:rsid w:val="00A31B92"/>
    <w:rsid w:val="00A31FB6"/>
    <w:rsid w:val="00A3491F"/>
    <w:rsid w:val="00A35684"/>
    <w:rsid w:val="00A35EBA"/>
    <w:rsid w:val="00A42562"/>
    <w:rsid w:val="00A448DB"/>
    <w:rsid w:val="00A45615"/>
    <w:rsid w:val="00A47D77"/>
    <w:rsid w:val="00A532A9"/>
    <w:rsid w:val="00A54651"/>
    <w:rsid w:val="00A57EB6"/>
    <w:rsid w:val="00A6257C"/>
    <w:rsid w:val="00A63F05"/>
    <w:rsid w:val="00A64C81"/>
    <w:rsid w:val="00A65223"/>
    <w:rsid w:val="00A6753B"/>
    <w:rsid w:val="00A675E3"/>
    <w:rsid w:val="00A74310"/>
    <w:rsid w:val="00A75080"/>
    <w:rsid w:val="00A77C89"/>
    <w:rsid w:val="00A82521"/>
    <w:rsid w:val="00A83175"/>
    <w:rsid w:val="00A87617"/>
    <w:rsid w:val="00A902FC"/>
    <w:rsid w:val="00A91770"/>
    <w:rsid w:val="00A91CEF"/>
    <w:rsid w:val="00AA0313"/>
    <w:rsid w:val="00AA0B48"/>
    <w:rsid w:val="00AA2DEC"/>
    <w:rsid w:val="00AA6C88"/>
    <w:rsid w:val="00AB278A"/>
    <w:rsid w:val="00AB3312"/>
    <w:rsid w:val="00AB427E"/>
    <w:rsid w:val="00AB67BE"/>
    <w:rsid w:val="00AB75D9"/>
    <w:rsid w:val="00AC2BE4"/>
    <w:rsid w:val="00AC43A2"/>
    <w:rsid w:val="00AD1B8D"/>
    <w:rsid w:val="00AD4D97"/>
    <w:rsid w:val="00AD5085"/>
    <w:rsid w:val="00AD6BAD"/>
    <w:rsid w:val="00AD7406"/>
    <w:rsid w:val="00AE20DE"/>
    <w:rsid w:val="00AE7E49"/>
    <w:rsid w:val="00AF16C7"/>
    <w:rsid w:val="00AF1C3A"/>
    <w:rsid w:val="00AF47FF"/>
    <w:rsid w:val="00AF6056"/>
    <w:rsid w:val="00AF63DF"/>
    <w:rsid w:val="00AF6D83"/>
    <w:rsid w:val="00AF7DF8"/>
    <w:rsid w:val="00B014B5"/>
    <w:rsid w:val="00B023CD"/>
    <w:rsid w:val="00B073A9"/>
    <w:rsid w:val="00B127B8"/>
    <w:rsid w:val="00B12C16"/>
    <w:rsid w:val="00B137A4"/>
    <w:rsid w:val="00B150C8"/>
    <w:rsid w:val="00B151B1"/>
    <w:rsid w:val="00B31223"/>
    <w:rsid w:val="00B31E04"/>
    <w:rsid w:val="00B3338A"/>
    <w:rsid w:val="00B33BE1"/>
    <w:rsid w:val="00B33FE9"/>
    <w:rsid w:val="00B341C9"/>
    <w:rsid w:val="00B36573"/>
    <w:rsid w:val="00B373D3"/>
    <w:rsid w:val="00B3772A"/>
    <w:rsid w:val="00B43E09"/>
    <w:rsid w:val="00B45085"/>
    <w:rsid w:val="00B453E0"/>
    <w:rsid w:val="00B46790"/>
    <w:rsid w:val="00B47DA1"/>
    <w:rsid w:val="00B47E68"/>
    <w:rsid w:val="00B52313"/>
    <w:rsid w:val="00B5796F"/>
    <w:rsid w:val="00B57D2B"/>
    <w:rsid w:val="00B57FCA"/>
    <w:rsid w:val="00B60F50"/>
    <w:rsid w:val="00B709AA"/>
    <w:rsid w:val="00B7215D"/>
    <w:rsid w:val="00B75D13"/>
    <w:rsid w:val="00B761B8"/>
    <w:rsid w:val="00B77DDB"/>
    <w:rsid w:val="00B82F77"/>
    <w:rsid w:val="00B8321C"/>
    <w:rsid w:val="00B83424"/>
    <w:rsid w:val="00B87051"/>
    <w:rsid w:val="00B93C59"/>
    <w:rsid w:val="00B97636"/>
    <w:rsid w:val="00BA0E55"/>
    <w:rsid w:val="00BA2529"/>
    <w:rsid w:val="00BA2C4C"/>
    <w:rsid w:val="00BB0C8C"/>
    <w:rsid w:val="00BC19F7"/>
    <w:rsid w:val="00BC30D4"/>
    <w:rsid w:val="00BC5430"/>
    <w:rsid w:val="00BC56AF"/>
    <w:rsid w:val="00BD1595"/>
    <w:rsid w:val="00BD3D81"/>
    <w:rsid w:val="00BD53F6"/>
    <w:rsid w:val="00BE16F7"/>
    <w:rsid w:val="00BE1B6B"/>
    <w:rsid w:val="00BE3853"/>
    <w:rsid w:val="00BE4B0E"/>
    <w:rsid w:val="00C010D3"/>
    <w:rsid w:val="00C0188B"/>
    <w:rsid w:val="00C04F6A"/>
    <w:rsid w:val="00C1153C"/>
    <w:rsid w:val="00C12F60"/>
    <w:rsid w:val="00C13EE7"/>
    <w:rsid w:val="00C15357"/>
    <w:rsid w:val="00C153CF"/>
    <w:rsid w:val="00C16479"/>
    <w:rsid w:val="00C17229"/>
    <w:rsid w:val="00C17761"/>
    <w:rsid w:val="00C17BE0"/>
    <w:rsid w:val="00C2137B"/>
    <w:rsid w:val="00C21A48"/>
    <w:rsid w:val="00C2260E"/>
    <w:rsid w:val="00C23432"/>
    <w:rsid w:val="00C27978"/>
    <w:rsid w:val="00C33F67"/>
    <w:rsid w:val="00C350C5"/>
    <w:rsid w:val="00C37685"/>
    <w:rsid w:val="00C37C07"/>
    <w:rsid w:val="00C41124"/>
    <w:rsid w:val="00C43094"/>
    <w:rsid w:val="00C4494D"/>
    <w:rsid w:val="00C454FE"/>
    <w:rsid w:val="00C47750"/>
    <w:rsid w:val="00C5072E"/>
    <w:rsid w:val="00C51060"/>
    <w:rsid w:val="00C5442D"/>
    <w:rsid w:val="00C5450E"/>
    <w:rsid w:val="00C57DC8"/>
    <w:rsid w:val="00C624A3"/>
    <w:rsid w:val="00C63619"/>
    <w:rsid w:val="00C7074C"/>
    <w:rsid w:val="00C719DC"/>
    <w:rsid w:val="00C73175"/>
    <w:rsid w:val="00C73403"/>
    <w:rsid w:val="00C74836"/>
    <w:rsid w:val="00C75BBF"/>
    <w:rsid w:val="00C82AA5"/>
    <w:rsid w:val="00C849EF"/>
    <w:rsid w:val="00C8506D"/>
    <w:rsid w:val="00C8753C"/>
    <w:rsid w:val="00C87923"/>
    <w:rsid w:val="00C933E8"/>
    <w:rsid w:val="00C9483F"/>
    <w:rsid w:val="00C95A0D"/>
    <w:rsid w:val="00C97670"/>
    <w:rsid w:val="00C97D04"/>
    <w:rsid w:val="00CA31E6"/>
    <w:rsid w:val="00CA338D"/>
    <w:rsid w:val="00CA4FE0"/>
    <w:rsid w:val="00CA5A75"/>
    <w:rsid w:val="00CB03BD"/>
    <w:rsid w:val="00CB066F"/>
    <w:rsid w:val="00CB33A4"/>
    <w:rsid w:val="00CB78A5"/>
    <w:rsid w:val="00CC35E6"/>
    <w:rsid w:val="00CC5A0C"/>
    <w:rsid w:val="00CC5C5A"/>
    <w:rsid w:val="00CD0831"/>
    <w:rsid w:val="00CD160F"/>
    <w:rsid w:val="00CD1E4A"/>
    <w:rsid w:val="00CD3E3B"/>
    <w:rsid w:val="00CD3EB6"/>
    <w:rsid w:val="00CD4A46"/>
    <w:rsid w:val="00CD4B6B"/>
    <w:rsid w:val="00CD5610"/>
    <w:rsid w:val="00CD5F93"/>
    <w:rsid w:val="00CD7680"/>
    <w:rsid w:val="00CE21F2"/>
    <w:rsid w:val="00CE449C"/>
    <w:rsid w:val="00CE5237"/>
    <w:rsid w:val="00CE6403"/>
    <w:rsid w:val="00CE6478"/>
    <w:rsid w:val="00CF05D3"/>
    <w:rsid w:val="00CF08FF"/>
    <w:rsid w:val="00CF1935"/>
    <w:rsid w:val="00CF1E9C"/>
    <w:rsid w:val="00CF5A11"/>
    <w:rsid w:val="00CF6C8E"/>
    <w:rsid w:val="00CF7A5E"/>
    <w:rsid w:val="00D01FC1"/>
    <w:rsid w:val="00D03694"/>
    <w:rsid w:val="00D05144"/>
    <w:rsid w:val="00D06779"/>
    <w:rsid w:val="00D07C28"/>
    <w:rsid w:val="00D104E5"/>
    <w:rsid w:val="00D1365F"/>
    <w:rsid w:val="00D17F45"/>
    <w:rsid w:val="00D22B95"/>
    <w:rsid w:val="00D35D08"/>
    <w:rsid w:val="00D4354B"/>
    <w:rsid w:val="00D462F1"/>
    <w:rsid w:val="00D52D52"/>
    <w:rsid w:val="00D536CA"/>
    <w:rsid w:val="00D53AAC"/>
    <w:rsid w:val="00D579B7"/>
    <w:rsid w:val="00D638BE"/>
    <w:rsid w:val="00D6653F"/>
    <w:rsid w:val="00D70543"/>
    <w:rsid w:val="00D7283C"/>
    <w:rsid w:val="00D76549"/>
    <w:rsid w:val="00D76E54"/>
    <w:rsid w:val="00D82CE5"/>
    <w:rsid w:val="00D85C2D"/>
    <w:rsid w:val="00D869BD"/>
    <w:rsid w:val="00D93200"/>
    <w:rsid w:val="00D95527"/>
    <w:rsid w:val="00DA138C"/>
    <w:rsid w:val="00DA399A"/>
    <w:rsid w:val="00DA7C22"/>
    <w:rsid w:val="00DA7EFF"/>
    <w:rsid w:val="00DB0017"/>
    <w:rsid w:val="00DB01F6"/>
    <w:rsid w:val="00DB0940"/>
    <w:rsid w:val="00DB16FC"/>
    <w:rsid w:val="00DB17B4"/>
    <w:rsid w:val="00DB6215"/>
    <w:rsid w:val="00DC1706"/>
    <w:rsid w:val="00DC2466"/>
    <w:rsid w:val="00DC4F22"/>
    <w:rsid w:val="00DD4FC3"/>
    <w:rsid w:val="00DD5373"/>
    <w:rsid w:val="00DE0446"/>
    <w:rsid w:val="00DF0B59"/>
    <w:rsid w:val="00DF1C32"/>
    <w:rsid w:val="00DF1FEE"/>
    <w:rsid w:val="00E035AD"/>
    <w:rsid w:val="00E14A4D"/>
    <w:rsid w:val="00E15D7B"/>
    <w:rsid w:val="00E16BE0"/>
    <w:rsid w:val="00E17776"/>
    <w:rsid w:val="00E22DE3"/>
    <w:rsid w:val="00E22FDE"/>
    <w:rsid w:val="00E23213"/>
    <w:rsid w:val="00E2328A"/>
    <w:rsid w:val="00E23BF5"/>
    <w:rsid w:val="00E24290"/>
    <w:rsid w:val="00E2500B"/>
    <w:rsid w:val="00E2622D"/>
    <w:rsid w:val="00E2721A"/>
    <w:rsid w:val="00E27E1B"/>
    <w:rsid w:val="00E3498F"/>
    <w:rsid w:val="00E34A88"/>
    <w:rsid w:val="00E35827"/>
    <w:rsid w:val="00E370DD"/>
    <w:rsid w:val="00E42067"/>
    <w:rsid w:val="00E422FB"/>
    <w:rsid w:val="00E432FD"/>
    <w:rsid w:val="00E46DA5"/>
    <w:rsid w:val="00E4707B"/>
    <w:rsid w:val="00E508ED"/>
    <w:rsid w:val="00E50D26"/>
    <w:rsid w:val="00E5112A"/>
    <w:rsid w:val="00E60C42"/>
    <w:rsid w:val="00E60DD7"/>
    <w:rsid w:val="00E628C2"/>
    <w:rsid w:val="00E643B7"/>
    <w:rsid w:val="00E6543D"/>
    <w:rsid w:val="00E704D1"/>
    <w:rsid w:val="00E74CD5"/>
    <w:rsid w:val="00E75C9D"/>
    <w:rsid w:val="00E77AD7"/>
    <w:rsid w:val="00E83DFC"/>
    <w:rsid w:val="00E84C04"/>
    <w:rsid w:val="00E85D8F"/>
    <w:rsid w:val="00E86597"/>
    <w:rsid w:val="00E8764E"/>
    <w:rsid w:val="00E90805"/>
    <w:rsid w:val="00E96AFC"/>
    <w:rsid w:val="00E97DB0"/>
    <w:rsid w:val="00EA06A4"/>
    <w:rsid w:val="00EA375C"/>
    <w:rsid w:val="00EA38B2"/>
    <w:rsid w:val="00EB0107"/>
    <w:rsid w:val="00EB4554"/>
    <w:rsid w:val="00EB4586"/>
    <w:rsid w:val="00EB6CBB"/>
    <w:rsid w:val="00EB7C12"/>
    <w:rsid w:val="00ED174F"/>
    <w:rsid w:val="00ED366C"/>
    <w:rsid w:val="00ED61F2"/>
    <w:rsid w:val="00ED6226"/>
    <w:rsid w:val="00ED676C"/>
    <w:rsid w:val="00ED752C"/>
    <w:rsid w:val="00EE116D"/>
    <w:rsid w:val="00EE1B36"/>
    <w:rsid w:val="00EE5FD5"/>
    <w:rsid w:val="00EE6372"/>
    <w:rsid w:val="00EE726C"/>
    <w:rsid w:val="00EF4418"/>
    <w:rsid w:val="00EF48F3"/>
    <w:rsid w:val="00EF699A"/>
    <w:rsid w:val="00F02E10"/>
    <w:rsid w:val="00F03B47"/>
    <w:rsid w:val="00F0591B"/>
    <w:rsid w:val="00F11DEC"/>
    <w:rsid w:val="00F134A9"/>
    <w:rsid w:val="00F15448"/>
    <w:rsid w:val="00F21DD2"/>
    <w:rsid w:val="00F234EE"/>
    <w:rsid w:val="00F2418E"/>
    <w:rsid w:val="00F26ECE"/>
    <w:rsid w:val="00F27034"/>
    <w:rsid w:val="00F41DB6"/>
    <w:rsid w:val="00F41E08"/>
    <w:rsid w:val="00F44CC3"/>
    <w:rsid w:val="00F466BB"/>
    <w:rsid w:val="00F4778E"/>
    <w:rsid w:val="00F53F8D"/>
    <w:rsid w:val="00F548B6"/>
    <w:rsid w:val="00F55CC6"/>
    <w:rsid w:val="00F61555"/>
    <w:rsid w:val="00F61EC1"/>
    <w:rsid w:val="00F64119"/>
    <w:rsid w:val="00F67834"/>
    <w:rsid w:val="00F81BA0"/>
    <w:rsid w:val="00F82639"/>
    <w:rsid w:val="00F84E72"/>
    <w:rsid w:val="00F86EB5"/>
    <w:rsid w:val="00F913E4"/>
    <w:rsid w:val="00F92847"/>
    <w:rsid w:val="00F93DB2"/>
    <w:rsid w:val="00F942BB"/>
    <w:rsid w:val="00F96BA3"/>
    <w:rsid w:val="00F97358"/>
    <w:rsid w:val="00F97497"/>
    <w:rsid w:val="00F97695"/>
    <w:rsid w:val="00FA0190"/>
    <w:rsid w:val="00FA4A33"/>
    <w:rsid w:val="00FB5874"/>
    <w:rsid w:val="00FB5F45"/>
    <w:rsid w:val="00FB629F"/>
    <w:rsid w:val="00FB79E2"/>
    <w:rsid w:val="00FC099A"/>
    <w:rsid w:val="00FC1F6C"/>
    <w:rsid w:val="00FC225A"/>
    <w:rsid w:val="00FC22AE"/>
    <w:rsid w:val="00FC39A3"/>
    <w:rsid w:val="00FC629D"/>
    <w:rsid w:val="00FC775F"/>
    <w:rsid w:val="00FD0402"/>
    <w:rsid w:val="00FD04F3"/>
    <w:rsid w:val="00FD10B2"/>
    <w:rsid w:val="00FE1359"/>
    <w:rsid w:val="00FE47CB"/>
    <w:rsid w:val="00FE4DEC"/>
    <w:rsid w:val="00FE4F95"/>
    <w:rsid w:val="00FE6D9E"/>
    <w:rsid w:val="00F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55"/>
    <w:pPr>
      <w:widowControl w:val="0"/>
      <w:ind w:firstLine="567"/>
      <w:jc w:val="both"/>
    </w:pPr>
    <w:rPr>
      <w:rFonts w:ascii="Arial Narrow" w:hAnsi="Arial Narrow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E16BE0"/>
    <w:pPr>
      <w:keepNext/>
      <w:numPr>
        <w:numId w:val="2"/>
      </w:numPr>
      <w:spacing w:before="240" w:after="240"/>
      <w:outlineLvl w:val="0"/>
    </w:pPr>
    <w:rPr>
      <w:rFonts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A675E3"/>
    <w:pPr>
      <w:keepNext/>
      <w:numPr>
        <w:ilvl w:val="1"/>
        <w:numId w:val="2"/>
      </w:numPr>
      <w:spacing w:before="240" w:after="12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194E49"/>
    <w:pPr>
      <w:keepNext/>
      <w:numPr>
        <w:ilvl w:val="2"/>
        <w:numId w:val="2"/>
      </w:numPr>
      <w:tabs>
        <w:tab w:val="left" w:pos="748"/>
      </w:tabs>
      <w:spacing w:before="240" w:after="120"/>
      <w:outlineLvl w:val="2"/>
    </w:pPr>
    <w:rPr>
      <w:rFonts w:asciiTheme="minorHAnsi" w:hAnsiTheme="minorHAnsi" w:cstheme="minorHAns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5672F0"/>
    <w:pPr>
      <w:keepNext/>
      <w:widowControl/>
      <w:numPr>
        <w:ilvl w:val="3"/>
        <w:numId w:val="2"/>
      </w:numPr>
      <w:tabs>
        <w:tab w:val="left" w:pos="1021"/>
      </w:tabs>
      <w:spacing w:before="240" w:after="60"/>
      <w:outlineLvl w:val="3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6BE0"/>
    <w:rPr>
      <w:rFonts w:ascii="Arial Narrow" w:hAnsi="Arial Narrow"/>
      <w:b/>
      <w:bCs/>
      <w:kern w:val="32"/>
      <w:sz w:val="28"/>
      <w:szCs w:val="28"/>
    </w:rPr>
  </w:style>
  <w:style w:type="character" w:customStyle="1" w:styleId="Nagwek2Znak">
    <w:name w:val="Nagłówek 2 Znak"/>
    <w:link w:val="Nagwek2"/>
    <w:rsid w:val="00A675E3"/>
    <w:rPr>
      <w:rFonts w:ascii="Arial Narrow" w:hAnsi="Arial Narrow"/>
      <w:b/>
      <w:bCs/>
      <w:sz w:val="28"/>
      <w:szCs w:val="28"/>
    </w:rPr>
  </w:style>
  <w:style w:type="character" w:customStyle="1" w:styleId="Nagwek3Znak">
    <w:name w:val="Nagłówek 3 Znak"/>
    <w:link w:val="Nagwek3"/>
    <w:rsid w:val="00194E49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4Znak">
    <w:name w:val="Nagłówek 4 Znak"/>
    <w:link w:val="Nagwek4"/>
    <w:rsid w:val="005672F0"/>
    <w:rPr>
      <w:rFonts w:ascii="Arial Narrow" w:hAnsi="Arial Narrow"/>
      <w:b/>
      <w:bCs/>
      <w:sz w:val="22"/>
      <w:szCs w:val="22"/>
    </w:rPr>
  </w:style>
  <w:style w:type="paragraph" w:customStyle="1" w:styleId="Wypunktowanie3">
    <w:name w:val="Wypunktowanie 3"/>
    <w:basedOn w:val="Normalny"/>
    <w:autoRedefine/>
    <w:qFormat/>
    <w:rsid w:val="00205B45"/>
    <w:pPr>
      <w:numPr>
        <w:numId w:val="1"/>
      </w:numPr>
      <w:ind w:left="964"/>
    </w:pPr>
  </w:style>
  <w:style w:type="paragraph" w:customStyle="1" w:styleId="Wypunktowanie2">
    <w:name w:val="Wypunktowanie 2"/>
    <w:basedOn w:val="Normalny"/>
    <w:link w:val="Wypunktowanie2Znak"/>
    <w:autoRedefine/>
    <w:qFormat/>
    <w:rsid w:val="005672F0"/>
    <w:rPr>
      <w:rFonts w:ascii="Arial" w:hAnsi="Arial" w:cs="Times New Roman"/>
      <w:color w:val="000000"/>
    </w:rPr>
  </w:style>
  <w:style w:type="character" w:customStyle="1" w:styleId="Wypunktowanie2Znak">
    <w:name w:val="Wypunktowanie 2 Znak"/>
    <w:link w:val="Wypunktowanie2"/>
    <w:rsid w:val="00756AC8"/>
    <w:rPr>
      <w:rFonts w:ascii="Arial" w:hAnsi="Arial" w:cs="Arial"/>
      <w:color w:val="000000"/>
      <w:sz w:val="22"/>
      <w:szCs w:val="22"/>
    </w:rPr>
  </w:style>
  <w:style w:type="paragraph" w:customStyle="1" w:styleId="Wypunktowanie1">
    <w:name w:val="Wypunktowanie 1"/>
    <w:basedOn w:val="Normalny"/>
    <w:link w:val="Wypunktowanie1Znak"/>
    <w:autoRedefine/>
    <w:qFormat/>
    <w:rsid w:val="003D582B"/>
    <w:pPr>
      <w:numPr>
        <w:numId w:val="4"/>
      </w:numPr>
    </w:pPr>
    <w:rPr>
      <w:rFonts w:asciiTheme="minorHAnsi" w:hAnsiTheme="minorHAnsi"/>
    </w:rPr>
  </w:style>
  <w:style w:type="paragraph" w:styleId="Nagwek">
    <w:name w:val="header"/>
    <w:basedOn w:val="Normalny"/>
    <w:link w:val="NagwekZnak"/>
    <w:qFormat/>
    <w:rsid w:val="003528CD"/>
    <w:pPr>
      <w:tabs>
        <w:tab w:val="center" w:pos="4536"/>
        <w:tab w:val="right" w:pos="9072"/>
      </w:tabs>
    </w:pPr>
    <w:rPr>
      <w:rFonts w:ascii="Arial" w:hAnsi="Arial" w:cs="Times New Roman"/>
      <w:color w:val="000000"/>
      <w:sz w:val="20"/>
      <w:szCs w:val="20"/>
    </w:rPr>
  </w:style>
  <w:style w:type="character" w:customStyle="1" w:styleId="NagwekZnak">
    <w:name w:val="Nagłówek Znak"/>
    <w:link w:val="Nagwek"/>
    <w:rsid w:val="00B46790"/>
    <w:rPr>
      <w:rFonts w:ascii="Arial" w:hAnsi="Arial" w:cs="Arial"/>
      <w:color w:val="000000"/>
    </w:rPr>
  </w:style>
  <w:style w:type="paragraph" w:customStyle="1" w:styleId="Stronatyt3-wyr">
    <w:name w:val="Strona tyt 3 - wyśr."/>
    <w:autoRedefine/>
    <w:uiPriority w:val="99"/>
    <w:rsid w:val="00A35EBA"/>
    <w:pPr>
      <w:ind w:left="3969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qFormat/>
    <w:rsid w:val="003528CD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A47D77"/>
    <w:pPr>
      <w:widowControl w:val="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atyt2-wyr">
    <w:name w:val="Strona tyt 2 -wyśr."/>
    <w:autoRedefine/>
    <w:uiPriority w:val="99"/>
    <w:rsid w:val="00FE6D9E"/>
    <w:pPr>
      <w:spacing w:before="240" w:after="24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qFormat/>
    <w:rsid w:val="00296EB8"/>
    <w:pPr>
      <w:tabs>
        <w:tab w:val="center" w:pos="4536"/>
        <w:tab w:val="right" w:pos="9072"/>
      </w:tabs>
    </w:pPr>
    <w:rPr>
      <w:rFonts w:ascii="Arial" w:hAnsi="Arial" w:cs="Times New Roman"/>
      <w:color w:val="000000"/>
      <w:sz w:val="20"/>
      <w:szCs w:val="20"/>
    </w:rPr>
  </w:style>
  <w:style w:type="character" w:customStyle="1" w:styleId="StopkaZnak">
    <w:name w:val="Stopka Znak"/>
    <w:link w:val="Stopka"/>
    <w:uiPriority w:val="99"/>
    <w:rsid w:val="00B46790"/>
    <w:rPr>
      <w:rFonts w:ascii="Arial" w:hAnsi="Arial" w:cs="Arial"/>
      <w:color w:val="000000"/>
    </w:rPr>
  </w:style>
  <w:style w:type="paragraph" w:customStyle="1" w:styleId="Stronatyt4-lew">
    <w:name w:val="Strona tyt 4 - lew"/>
    <w:autoRedefine/>
    <w:uiPriority w:val="99"/>
    <w:rsid w:val="00A74310"/>
    <w:pPr>
      <w:spacing w:before="120" w:after="120"/>
    </w:pPr>
    <w:rPr>
      <w:rFonts w:ascii="Arial Narrow" w:hAnsi="Arial Narrow" w:cs="Arial"/>
      <w:b/>
      <w:bCs/>
      <w:i/>
      <w:color w:val="000000"/>
      <w:sz w:val="24"/>
      <w:szCs w:val="24"/>
    </w:rPr>
  </w:style>
  <w:style w:type="paragraph" w:customStyle="1" w:styleId="Stronatyt1-wyr">
    <w:name w:val="Strona tyt 1- wyśr"/>
    <w:uiPriority w:val="99"/>
    <w:rsid w:val="00FE6D9E"/>
    <w:pPr>
      <w:spacing w:before="1080" w:after="600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04C"/>
    <w:rPr>
      <w:rFonts w:ascii="Tahoma" w:hAnsi="Tahoma" w:cs="Times New Roman"/>
      <w:color w:val="00000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04C"/>
    <w:rPr>
      <w:rFonts w:ascii="Tahoma" w:hAnsi="Tahoma" w:cs="Tahoma"/>
      <w:color w:val="000000"/>
      <w:sz w:val="16"/>
      <w:szCs w:val="16"/>
    </w:rPr>
  </w:style>
  <w:style w:type="paragraph" w:customStyle="1" w:styleId="Wypunktowanie">
    <w:name w:val="Wypunktowanie"/>
    <w:basedOn w:val="Normalny"/>
    <w:autoRedefine/>
    <w:rsid w:val="00E90805"/>
    <w:pPr>
      <w:tabs>
        <w:tab w:val="num" w:pos="357"/>
      </w:tabs>
      <w:ind w:left="357" w:hanging="357"/>
    </w:pPr>
  </w:style>
  <w:style w:type="paragraph" w:styleId="Spistreci1">
    <w:name w:val="toc 1"/>
    <w:basedOn w:val="Normalny"/>
    <w:next w:val="Normalny"/>
    <w:uiPriority w:val="39"/>
    <w:rsid w:val="002D13F0"/>
    <w:pPr>
      <w:tabs>
        <w:tab w:val="left" w:pos="660"/>
        <w:tab w:val="left" w:pos="1100"/>
        <w:tab w:val="right" w:leader="dot" w:pos="9062"/>
      </w:tabs>
      <w:spacing w:line="360" w:lineRule="auto"/>
      <w:ind w:left="567" w:firstLine="0"/>
      <w:jc w:val="left"/>
    </w:pPr>
    <w:rPr>
      <w:rFonts w:ascii="Calibri" w:hAnsi="Calibr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uiPriority w:val="39"/>
    <w:rsid w:val="00C153CF"/>
    <w:pPr>
      <w:tabs>
        <w:tab w:val="left" w:pos="660"/>
        <w:tab w:val="right" w:leader="dot" w:pos="9062"/>
      </w:tabs>
      <w:spacing w:line="360" w:lineRule="auto"/>
      <w:ind w:left="851" w:firstLine="0"/>
      <w:jc w:val="left"/>
    </w:pPr>
    <w:rPr>
      <w:rFonts w:ascii="Calibri" w:hAnsi="Calibri" w:cs="Times New Roman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E6BE7"/>
    <w:pPr>
      <w:tabs>
        <w:tab w:val="left" w:pos="1100"/>
        <w:tab w:val="right" w:leader="dot" w:pos="9062"/>
      </w:tabs>
      <w:spacing w:line="360" w:lineRule="auto"/>
      <w:ind w:left="221"/>
      <w:jc w:val="left"/>
    </w:pPr>
    <w:rPr>
      <w:rFonts w:ascii="Calibri" w:hAnsi="Calibri" w:cs="Times New Roman"/>
      <w:sz w:val="20"/>
      <w:szCs w:val="20"/>
    </w:rPr>
  </w:style>
  <w:style w:type="character" w:styleId="Hipercze">
    <w:name w:val="Hyperlink"/>
    <w:uiPriority w:val="99"/>
    <w:rsid w:val="00E90805"/>
    <w:rPr>
      <w:color w:val="0000FF"/>
      <w:u w:val="single"/>
    </w:rPr>
  </w:style>
  <w:style w:type="paragraph" w:customStyle="1" w:styleId="tom">
    <w:name w:val="tom"/>
    <w:uiPriority w:val="99"/>
    <w:rsid w:val="00A27156"/>
    <w:pPr>
      <w:jc w:val="center"/>
    </w:pPr>
    <w:rPr>
      <w:rFonts w:ascii="Arial" w:hAnsi="Arial" w:cs="Arial"/>
      <w:b/>
      <w:bCs/>
      <w:color w:val="000000"/>
      <w:sz w:val="80"/>
      <w:szCs w:val="80"/>
      <w:lang w:val="en-US"/>
    </w:rPr>
  </w:style>
  <w:style w:type="paragraph" w:styleId="Tekstpodstawowy">
    <w:name w:val="Body Text"/>
    <w:basedOn w:val="Normalny"/>
    <w:link w:val="TekstpodstawowyZnak"/>
    <w:rsid w:val="00756AC8"/>
    <w:pPr>
      <w:widowControl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756AC8"/>
    <w:rPr>
      <w:lang w:eastAsia="ar-SA"/>
    </w:rPr>
  </w:style>
  <w:style w:type="paragraph" w:customStyle="1" w:styleId="Stronatytuowa-tekst">
    <w:name w:val="Strona tytułowa - tekst"/>
    <w:next w:val="Normalny"/>
    <w:link w:val="Stronatytuowa-tekstZnak"/>
    <w:autoRedefine/>
    <w:qFormat/>
    <w:rsid w:val="00756AC8"/>
    <w:pPr>
      <w:spacing w:before="100" w:after="100"/>
    </w:pPr>
    <w:rPr>
      <w:rFonts w:ascii="Arial" w:hAnsi="Arial" w:cs="Arial"/>
      <w:b/>
      <w:bCs/>
      <w:color w:val="000000"/>
      <w:sz w:val="22"/>
      <w:szCs w:val="24"/>
    </w:rPr>
  </w:style>
  <w:style w:type="character" w:customStyle="1" w:styleId="Stronatytuowa-tekstZnak">
    <w:name w:val="Strona tytułowa - tekst Znak"/>
    <w:link w:val="Stronatytuowa-tekst"/>
    <w:rsid w:val="00756AC8"/>
    <w:rPr>
      <w:rFonts w:ascii="Arial" w:hAnsi="Arial" w:cs="Arial"/>
      <w:b/>
      <w:bCs/>
      <w:color w:val="000000"/>
      <w:sz w:val="22"/>
      <w:szCs w:val="24"/>
      <w:lang w:val="pl-PL" w:eastAsia="pl-PL" w:bidi="ar-SA"/>
    </w:rPr>
  </w:style>
  <w:style w:type="paragraph" w:customStyle="1" w:styleId="Tyturodek14pkt">
    <w:name w:val="Tytuł środek 14pkt"/>
    <w:next w:val="Normalny"/>
    <w:autoRedefine/>
    <w:qFormat/>
    <w:rsid w:val="00756AC8"/>
    <w:pPr>
      <w:jc w:val="center"/>
    </w:pPr>
    <w:rPr>
      <w:rFonts w:ascii="Arial" w:hAnsi="Arial"/>
      <w:b/>
      <w:bCs/>
      <w:color w:val="000000"/>
      <w:sz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660"/>
      <w:jc w:val="left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880"/>
      <w:jc w:val="left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1100"/>
      <w:jc w:val="left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1320"/>
      <w:jc w:val="left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1540"/>
      <w:jc w:val="left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uiPriority w:val="39"/>
    <w:unhideWhenUsed/>
    <w:rsid w:val="001A430A"/>
    <w:pPr>
      <w:widowControl/>
      <w:spacing w:after="100" w:line="276" w:lineRule="auto"/>
      <w:ind w:left="1760"/>
      <w:jc w:val="left"/>
    </w:pPr>
    <w:rPr>
      <w:rFonts w:ascii="Calibri" w:hAnsi="Calibri" w:cs="Times New Roman"/>
    </w:rPr>
  </w:style>
  <w:style w:type="character" w:customStyle="1" w:styleId="Wypunktowanie1Znak">
    <w:name w:val="Wypunktowanie 1 Znak"/>
    <w:link w:val="Wypunktowanie1"/>
    <w:rsid w:val="003D582B"/>
    <w:rPr>
      <w:rFonts w:asciiTheme="minorHAnsi" w:hAnsiTheme="minorHAnsi" w:cs="Arial"/>
      <w:sz w:val="22"/>
      <w:szCs w:val="22"/>
    </w:rPr>
  </w:style>
  <w:style w:type="character" w:customStyle="1" w:styleId="Normalny-tabelka">
    <w:name w:val="Normalny - tabelka"/>
    <w:qFormat/>
    <w:locked/>
    <w:rsid w:val="00C82AA5"/>
    <w:rPr>
      <w:rFonts w:ascii="Arial" w:hAnsi="Arial" w:cs="Times New Roman"/>
      <w:kern w:val="0"/>
      <w:sz w:val="18"/>
      <w:szCs w:val="16"/>
    </w:rPr>
  </w:style>
  <w:style w:type="paragraph" w:customStyle="1" w:styleId="Tyturodek12pkt">
    <w:name w:val="Tytuł środek 12 pkt"/>
    <w:basedOn w:val="Normalny"/>
    <w:qFormat/>
    <w:locked/>
    <w:rsid w:val="00C82AA5"/>
    <w:pPr>
      <w:ind w:left="25" w:right="-104"/>
      <w:jc w:val="center"/>
    </w:pPr>
    <w:rPr>
      <w:rFonts w:ascii="Arial" w:hAnsi="Arial" w:cs="Times New Roman"/>
      <w:b/>
      <w:bCs/>
      <w:color w:val="000000"/>
      <w:szCs w:val="20"/>
    </w:rPr>
  </w:style>
  <w:style w:type="character" w:customStyle="1" w:styleId="OPISZAKOPIANKAZnak">
    <w:name w:val="OPIS ZAKOPIANKA Znak"/>
    <w:link w:val="OPISZAKOPIANKA"/>
    <w:locked/>
    <w:rsid w:val="00AD5085"/>
    <w:rPr>
      <w:rFonts w:ascii="ArialMT" w:eastAsia="Batang" w:hAnsi="ArialMT"/>
      <w:szCs w:val="16"/>
    </w:rPr>
  </w:style>
  <w:style w:type="paragraph" w:customStyle="1" w:styleId="OPISZAKOPIANKA">
    <w:name w:val="OPIS ZAKOPIANKA"/>
    <w:basedOn w:val="Bezodstpw"/>
    <w:link w:val="OPISZAKOPIANKAZnak"/>
    <w:qFormat/>
    <w:rsid w:val="00AD5085"/>
    <w:pPr>
      <w:widowControl/>
      <w:ind w:right="0"/>
    </w:pPr>
    <w:rPr>
      <w:rFonts w:ascii="ArialMT" w:eastAsia="Batang" w:hAnsi="ArialMT"/>
      <w:sz w:val="20"/>
      <w:szCs w:val="16"/>
    </w:rPr>
  </w:style>
  <w:style w:type="paragraph" w:styleId="Bezodstpw">
    <w:name w:val="No Spacing"/>
    <w:link w:val="BezodstpwZnak"/>
    <w:uiPriority w:val="1"/>
    <w:qFormat/>
    <w:rsid w:val="00AD5085"/>
    <w:pPr>
      <w:widowControl w:val="0"/>
      <w:ind w:right="-2"/>
      <w:jc w:val="both"/>
    </w:pPr>
    <w:rPr>
      <w:rFonts w:ascii="Arial Narrow" w:hAnsi="Arial Narrow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AD5085"/>
    <w:pPr>
      <w:suppressAutoHyphens/>
      <w:spacing w:line="0" w:lineRule="atLeast"/>
      <w:jc w:val="center"/>
    </w:pPr>
    <w:rPr>
      <w:rFonts w:ascii="Arial" w:eastAsia="Lucida Sans Unicode" w:hAnsi="Arial" w:cs="Times New Roman"/>
      <w:b/>
      <w:bCs/>
      <w:color w:val="0070C0"/>
      <w:sz w:val="32"/>
      <w:szCs w:val="24"/>
    </w:rPr>
  </w:style>
  <w:style w:type="character" w:customStyle="1" w:styleId="TytuZnak">
    <w:name w:val="Tytuł Znak"/>
    <w:link w:val="Tytu"/>
    <w:rsid w:val="00AD5085"/>
    <w:rPr>
      <w:rFonts w:ascii="Arial" w:eastAsia="Lucida Sans Unicode" w:hAnsi="Arial" w:cs="Arial"/>
      <w:b/>
      <w:bCs/>
      <w:color w:val="0070C0"/>
      <w:sz w:val="32"/>
      <w:szCs w:val="24"/>
    </w:rPr>
  </w:style>
  <w:style w:type="character" w:customStyle="1" w:styleId="BezodstpwZnak">
    <w:name w:val="Bez odstępów Znak"/>
    <w:link w:val="Bezodstpw"/>
    <w:uiPriority w:val="1"/>
    <w:locked/>
    <w:rsid w:val="00AD5085"/>
    <w:rPr>
      <w:rFonts w:ascii="Arial Narrow" w:hAnsi="Arial Narrow"/>
      <w:sz w:val="22"/>
      <w:szCs w:val="22"/>
      <w:lang w:bidi="ar-SA"/>
    </w:rPr>
  </w:style>
  <w:style w:type="paragraph" w:customStyle="1" w:styleId="Zawartotabeli">
    <w:name w:val="Zawartość tabeli"/>
    <w:basedOn w:val="Normalny"/>
    <w:uiPriority w:val="99"/>
    <w:rsid w:val="00AD5085"/>
    <w:pPr>
      <w:suppressLineNumbers/>
      <w:suppressAutoHyphens/>
      <w:jc w:val="left"/>
    </w:pPr>
    <w:rPr>
      <w:rFonts w:ascii="Arial" w:eastAsia="SimSun" w:hAnsi="Arial" w:cs="Lucida Sans"/>
      <w:kern w:val="2"/>
      <w:sz w:val="18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5085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AD508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4703"/>
    <w:pPr>
      <w:numPr>
        <w:numId w:val="0"/>
      </w:numPr>
      <w:spacing w:after="60"/>
      <w:ind w:right="-2"/>
      <w:outlineLvl w:val="9"/>
    </w:pPr>
    <w:rPr>
      <w:rFonts w:ascii="Calibri Light" w:hAnsi="Calibri Light"/>
    </w:rPr>
  </w:style>
  <w:style w:type="paragraph" w:customStyle="1" w:styleId="wypunktowanieAlt9">
    <w:name w:val="wypunktowanie Alt+9"/>
    <w:basedOn w:val="Normalny"/>
    <w:rsid w:val="0032583A"/>
    <w:pPr>
      <w:widowControl/>
      <w:tabs>
        <w:tab w:val="num" w:pos="720"/>
      </w:tabs>
      <w:suppressAutoHyphens/>
      <w:ind w:left="720" w:hanging="720"/>
    </w:pPr>
    <w:rPr>
      <w:rFonts w:cs="Calibri"/>
      <w:szCs w:val="20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32583A"/>
    <w:pPr>
      <w:adjustRightInd w:val="0"/>
      <w:spacing w:line="360" w:lineRule="atLeast"/>
      <w:ind w:left="221" w:firstLine="709"/>
      <w:textAlignment w:val="baseline"/>
    </w:pPr>
    <w:rPr>
      <w:rFonts w:ascii="Arial" w:eastAsia="Calibri" w:hAnsi="Arial" w:cs="Times New Roman"/>
    </w:rPr>
  </w:style>
  <w:style w:type="paragraph" w:customStyle="1" w:styleId="Tekst">
    <w:name w:val="Tekst"/>
    <w:rsid w:val="0032583A"/>
    <w:pPr>
      <w:suppressAutoHyphens/>
      <w:spacing w:line="276" w:lineRule="auto"/>
      <w:ind w:firstLine="567"/>
      <w:jc w:val="both"/>
    </w:pPr>
    <w:rPr>
      <w:rFonts w:ascii="Arial Narrow" w:eastAsia="ヒラギノ角ゴ Pro W3" w:hAnsi="Arial Narrow" w:cs="Calibri"/>
      <w:color w:val="000000"/>
      <w:sz w:val="22"/>
      <w:lang w:eastAsia="ar-SA"/>
    </w:rPr>
  </w:style>
  <w:style w:type="paragraph" w:customStyle="1" w:styleId="StylWyjustowanyInterliniaWielokrotne11wrs">
    <w:name w:val="Styl Wyjustowany Interlinia:  Wielokrotne 11 wrs"/>
    <w:basedOn w:val="Normalny"/>
    <w:rsid w:val="00C9483F"/>
    <w:pPr>
      <w:widowControl/>
      <w:numPr>
        <w:numId w:val="3"/>
      </w:numPr>
      <w:jc w:val="left"/>
    </w:pPr>
    <w:rPr>
      <w:rFonts w:ascii="Arial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754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A7549"/>
    <w:rPr>
      <w:rFonts w:ascii="Arial Narrow" w:hAnsi="Arial Narrow" w:cs="Arial"/>
      <w:sz w:val="22"/>
      <w:szCs w:val="22"/>
    </w:rPr>
  </w:style>
  <w:style w:type="paragraph" w:customStyle="1" w:styleId="StylPLAZA-tekstpodstaowyAutomatyczny">
    <w:name w:val="Styl PLAZA - tekst podstaowy + Automatyczny"/>
    <w:basedOn w:val="Normalny"/>
    <w:rsid w:val="009E232B"/>
    <w:pPr>
      <w:widowControl/>
      <w:ind w:right="-57" w:firstLine="709"/>
    </w:pPr>
    <w:rPr>
      <w:rFonts w:ascii="Arial" w:hAnsi="Arial"/>
    </w:rPr>
  </w:style>
  <w:style w:type="paragraph" w:styleId="Cytat">
    <w:name w:val="Quote"/>
    <w:basedOn w:val="Normalny"/>
    <w:next w:val="Normalny"/>
    <w:link w:val="CytatZnak"/>
    <w:qFormat/>
    <w:rsid w:val="00B8321C"/>
    <w:pPr>
      <w:widowControl/>
      <w:spacing w:before="200" w:after="160" w:line="259" w:lineRule="auto"/>
      <w:ind w:left="864" w:right="864" w:firstLine="0"/>
      <w:jc w:val="center"/>
    </w:pPr>
    <w:rPr>
      <w:rFonts w:ascii="Calibri" w:eastAsia="Batang" w:hAnsi="Calibri" w:cs="Times New Roman"/>
      <w:i/>
      <w:iCs/>
      <w:color w:val="404040"/>
      <w:lang w:eastAsia="en-US"/>
    </w:rPr>
  </w:style>
  <w:style w:type="character" w:customStyle="1" w:styleId="CytatZnak">
    <w:name w:val="Cytat Znak"/>
    <w:link w:val="Cytat"/>
    <w:rsid w:val="00B8321C"/>
    <w:rPr>
      <w:rFonts w:ascii="Calibri" w:eastAsia="Batang" w:hAnsi="Calibri"/>
      <w:i/>
      <w:iCs/>
      <w:color w:val="404040"/>
      <w:sz w:val="22"/>
      <w:szCs w:val="22"/>
      <w:lang w:eastAsia="en-US"/>
    </w:rPr>
  </w:style>
  <w:style w:type="table" w:customStyle="1" w:styleId="TableGridLight1">
    <w:name w:val="Table Grid Light1"/>
    <w:basedOn w:val="Standardowy"/>
    <w:uiPriority w:val="40"/>
    <w:rsid w:val="00B8321C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F03B47"/>
    <w:pPr>
      <w:numPr>
        <w:numId w:val="5"/>
      </w:numPr>
      <w:tabs>
        <w:tab w:val="left" w:pos="927"/>
      </w:tabs>
      <w:suppressAutoHyphens/>
      <w:spacing w:line="0" w:lineRule="atLeast"/>
      <w:ind w:left="907" w:hanging="340"/>
    </w:pPr>
    <w:rPr>
      <w:rFonts w:ascii="Arial" w:eastAsia="Lucida Sans Unicode" w:hAnsi="Arial" w:cs="Times New Roman"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"/>
    <w:basedOn w:val="Normalny"/>
    <w:link w:val="AkapitzlistZnak"/>
    <w:uiPriority w:val="34"/>
    <w:qFormat/>
    <w:rsid w:val="000961A4"/>
    <w:pPr>
      <w:ind w:left="708"/>
    </w:pPr>
  </w:style>
  <w:style w:type="paragraph" w:customStyle="1" w:styleId="StylNagwek3Stosujkerningprzy16pt">
    <w:name w:val="Styl Nagłówek 3 + Stosuj kerning przy 16 pt"/>
    <w:basedOn w:val="Nagwek3"/>
    <w:rsid w:val="007D3F3A"/>
    <w:pPr>
      <w:widowControl/>
      <w:numPr>
        <w:ilvl w:val="0"/>
        <w:numId w:val="0"/>
      </w:numPr>
      <w:tabs>
        <w:tab w:val="clear" w:pos="748"/>
        <w:tab w:val="num" w:pos="1440"/>
      </w:tabs>
      <w:suppressAutoHyphens/>
      <w:spacing w:before="220" w:after="220"/>
      <w:ind w:left="1224" w:hanging="504"/>
    </w:pPr>
    <w:rPr>
      <w:rFonts w:ascii="Arial" w:hAnsi="Arial" w:cs="Arial"/>
      <w:kern w:val="32"/>
      <w:sz w:val="22"/>
      <w:szCs w:val="26"/>
    </w:rPr>
  </w:style>
  <w:style w:type="character" w:customStyle="1" w:styleId="A9">
    <w:name w:val="A9"/>
    <w:uiPriority w:val="99"/>
    <w:rsid w:val="001705B5"/>
    <w:rPr>
      <w:rFonts w:cs="DINPro-Light"/>
      <w:color w:val="000000"/>
      <w:sz w:val="22"/>
      <w:szCs w:val="22"/>
    </w:rPr>
  </w:style>
  <w:style w:type="paragraph" w:customStyle="1" w:styleId="a3">
    <w:name w:val="a3"/>
    <w:basedOn w:val="Tekstpodstawowy"/>
    <w:rsid w:val="00ED676C"/>
    <w:pPr>
      <w:suppressAutoHyphens w:val="0"/>
      <w:spacing w:after="120"/>
      <w:ind w:firstLine="0"/>
    </w:pPr>
    <w:rPr>
      <w:rFonts w:ascii="Arial" w:hAnsi="Arial"/>
      <w:sz w:val="22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"/>
    <w:basedOn w:val="Domylnaczcionkaakapitu"/>
    <w:link w:val="Akapitzlist"/>
    <w:uiPriority w:val="34"/>
    <w:qFormat/>
    <w:rsid w:val="00ED676C"/>
    <w:rPr>
      <w:rFonts w:ascii="Arial Narrow" w:hAnsi="Arial Narrow" w:cs="Arial"/>
      <w:sz w:val="22"/>
      <w:szCs w:val="22"/>
    </w:rPr>
  </w:style>
  <w:style w:type="paragraph" w:customStyle="1" w:styleId="body-nf">
    <w:name w:val="body-nf"/>
    <w:basedOn w:val="Normalny"/>
    <w:rsid w:val="00ED676C"/>
    <w:pPr>
      <w:widowControl/>
      <w:spacing w:before="100" w:beforeAutospacing="1" w:after="100" w:afterAutospacing="1" w:line="360" w:lineRule="auto"/>
      <w:ind w:firstLine="0"/>
      <w:jc w:val="left"/>
    </w:pPr>
    <w:rPr>
      <w:rFonts w:ascii="Bosch Office Sans" w:eastAsia="Batang" w:hAnsi="Bosch Office Sans" w:cs="Times New Roman"/>
      <w:sz w:val="18"/>
      <w:szCs w:val="24"/>
      <w:lang w:eastAsia="ko-KR"/>
    </w:rPr>
  </w:style>
  <w:style w:type="numbering" w:customStyle="1" w:styleId="Boschconceptions">
    <w:name w:val="Bosch conceptions"/>
    <w:rsid w:val="00983101"/>
    <w:pPr>
      <w:numPr>
        <w:numId w:val="6"/>
      </w:numPr>
    </w:pPr>
  </w:style>
  <w:style w:type="paragraph" w:customStyle="1" w:styleId="Pa2">
    <w:name w:val="Pa2"/>
    <w:basedOn w:val="Normalny"/>
    <w:next w:val="Normalny"/>
    <w:uiPriority w:val="99"/>
    <w:rsid w:val="00520732"/>
    <w:pPr>
      <w:widowControl/>
      <w:autoSpaceDE w:val="0"/>
      <w:autoSpaceDN w:val="0"/>
      <w:adjustRightInd w:val="0"/>
      <w:spacing w:line="241" w:lineRule="atLeast"/>
      <w:ind w:firstLine="0"/>
      <w:jc w:val="left"/>
    </w:pPr>
    <w:rPr>
      <w:rFonts w:ascii="DINPro-Light" w:hAnsi="DINPro-Light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2B"/>
    <w:rPr>
      <w:rFonts w:ascii="Arial Narrow" w:hAnsi="Arial Narrow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42D5-E118-46C9-A396-73189B80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3193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Links>
    <vt:vector size="312" baseType="variant">
      <vt:variant>
        <vt:i4>1245237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_Toc456255265</vt:lpwstr>
      </vt:variant>
      <vt:variant>
        <vt:i4>1245237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_Toc456255264</vt:lpwstr>
      </vt:variant>
      <vt:variant>
        <vt:i4>1245237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_Toc456255263</vt:lpwstr>
      </vt:variant>
      <vt:variant>
        <vt:i4>1245237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_Toc456255262</vt:lpwstr>
      </vt:variant>
      <vt:variant>
        <vt:i4>1245237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_Toc456255261</vt:lpwstr>
      </vt:variant>
      <vt:variant>
        <vt:i4>1245237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_Toc456255260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_Toc456255259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_Toc456255258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_Toc456255257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_Toc456255256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_Toc456255255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_Toc456255254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_Toc456255253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_Toc456255252</vt:lpwstr>
      </vt:variant>
      <vt:variant>
        <vt:i4>1048629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_Toc456255251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_Toc456255250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_Toc456255249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_Toc456255248</vt:lpwstr>
      </vt:variant>
      <vt:variant>
        <vt:i4>1114165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_Toc456255247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_Toc456255246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_Toc456255245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_Toc456255244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_Toc456255243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_Toc456255242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_Toc456255241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_Toc456255240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_Toc456255239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_Toc456255238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_Toc456255237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_Toc456255236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_Toc456255235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_Toc456255234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_Toc456255233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_Toc456255232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_Toc456255231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_Toc456255230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_Toc456255229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_Toc456255228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_Toc456255227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_Toc456255226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_Toc456255225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_Toc456255224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_Toc456255223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_Toc456255222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_Toc456255221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_Toc456255220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_Toc456255219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_Toc456255218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_Toc456255217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_Toc456255216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_Toc456255215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_Toc456255214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"SZELGE Mariusz Szlenk" &lt;biuro@szelge.pl&gt;</dc:creator>
  <cp:keywords/>
  <cp:lastModifiedBy>afornalczyk</cp:lastModifiedBy>
  <cp:revision>47</cp:revision>
  <cp:lastPrinted>2020-11-19T09:28:00Z</cp:lastPrinted>
  <dcterms:created xsi:type="dcterms:W3CDTF">2020-08-11T07:39:00Z</dcterms:created>
  <dcterms:modified xsi:type="dcterms:W3CDTF">2020-11-23T13:53:00Z</dcterms:modified>
</cp:coreProperties>
</file>